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01AF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201AB604" w14:textId="77777777" w:rsidR="00935973" w:rsidRPr="00935973" w:rsidRDefault="00935973" w:rsidP="00935973"/>
    <w:p w14:paraId="5E995A3C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3C278A76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53F7A277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4AA9DF66" w14:textId="77777777" w:rsidR="00935973" w:rsidRDefault="00935973" w:rsidP="00935973"/>
    <w:p w14:paraId="71EC3939" w14:textId="77777777" w:rsidR="00935973" w:rsidRPr="00935973" w:rsidRDefault="00935973" w:rsidP="00935973"/>
    <w:p w14:paraId="5E2081A6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1DD379D9" w14:textId="415E9E09" w:rsidR="00935973" w:rsidRPr="00935973" w:rsidRDefault="00E51939" w:rsidP="00935973">
      <w:pPr>
        <w:pStyle w:val="Heading1"/>
        <w:spacing w:before="0" w:line="360" w:lineRule="auto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GIM Middle East</w:t>
      </w:r>
      <w:r w:rsidR="00423BEF">
        <w:rPr>
          <w:color w:val="auto"/>
          <w:sz w:val="40"/>
          <w:szCs w:val="40"/>
        </w:rPr>
        <w:t xml:space="preserve"> </w:t>
      </w:r>
      <w:r w:rsidR="00935973" w:rsidRPr="00935973">
        <w:rPr>
          <w:color w:val="auto"/>
          <w:sz w:val="40"/>
          <w:szCs w:val="40"/>
        </w:rPr>
        <w:t>Syllabus</w:t>
      </w:r>
    </w:p>
    <w:p w14:paraId="6DF85940" w14:textId="7F3ED8AD" w:rsidR="00935973" w:rsidRDefault="00935973" w:rsidP="0093597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Winter 201</w:t>
      </w:r>
      <w:r w:rsidR="000B69BA">
        <w:rPr>
          <w:sz w:val="28"/>
          <w:szCs w:val="28"/>
        </w:rPr>
        <w:t>7</w:t>
      </w:r>
      <w:r w:rsidR="00B1470C">
        <w:rPr>
          <w:sz w:val="28"/>
          <w:szCs w:val="28"/>
        </w:rPr>
        <w:t xml:space="preserve"> </w:t>
      </w:r>
    </w:p>
    <w:p w14:paraId="6B84DE4A" w14:textId="52320D3D" w:rsidR="00935973" w:rsidRDefault="00E51939" w:rsidP="009359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Tuesdays</w:t>
      </w:r>
      <w:r w:rsidR="00935973">
        <w:rPr>
          <w:b/>
          <w:sz w:val="28"/>
          <w:szCs w:val="28"/>
        </w:rPr>
        <w:t>, 6:30 – 9:30 PM</w:t>
      </w:r>
    </w:p>
    <w:p w14:paraId="3A980301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74B80D1F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53DC58FE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3BC582D5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5B172ADC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22D432EF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00D81A80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7D7D4AC2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2338F4E1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474EF67E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3B532108" w14:textId="77777777" w:rsidR="00935973" w:rsidRPr="005F074D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6350A867" w14:textId="77777777" w:rsidR="00935973" w:rsidRDefault="00935973" w:rsidP="00935973">
      <w:pPr>
        <w:ind w:left="3600" w:firstLine="720"/>
        <w:jc w:val="center"/>
        <w:rPr>
          <w:sz w:val="28"/>
          <w:szCs w:val="28"/>
        </w:rPr>
      </w:pPr>
    </w:p>
    <w:p w14:paraId="28596A6F" w14:textId="7F1FA5E6" w:rsidR="00935973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r w:rsidR="00E51939">
        <w:rPr>
          <w:sz w:val="28"/>
          <w:szCs w:val="28"/>
        </w:rPr>
        <w:t>Karen Hunt Ahmed</w:t>
      </w:r>
    </w:p>
    <w:p w14:paraId="0954F733" w14:textId="21C6975E" w:rsidR="00935973" w:rsidRDefault="009705E7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>karen.ahmed</w:t>
      </w:r>
      <w:r w:rsidR="00935973">
        <w:rPr>
          <w:sz w:val="28"/>
          <w:szCs w:val="28"/>
        </w:rPr>
        <w:t>@kellogg.northwestern.edu</w:t>
      </w:r>
    </w:p>
    <w:p w14:paraId="4BE769B9" w14:textId="3D3F31FD" w:rsidR="00935973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9705E7">
        <w:rPr>
          <w:sz w:val="28"/>
          <w:szCs w:val="28"/>
        </w:rPr>
        <w:t>(847) 962-5351</w:t>
      </w:r>
    </w:p>
    <w:p w14:paraId="0BF09E8B" w14:textId="77777777" w:rsidR="009705E7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ho</w:t>
      </w:r>
      <w:r w:rsidR="009705E7">
        <w:rPr>
          <w:sz w:val="28"/>
          <w:szCs w:val="28"/>
        </w:rPr>
        <w:t xml:space="preserve">urs: Jacobs Center, room 5234, </w:t>
      </w:r>
    </w:p>
    <w:p w14:paraId="491DA1A9" w14:textId="73D8FF4E" w:rsidR="009705E7" w:rsidRDefault="009705E7" w:rsidP="009705E7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5:30 – 6:15 or by appointment</w:t>
      </w:r>
    </w:p>
    <w:p w14:paraId="52CC77AB" w14:textId="77777777" w:rsidR="00935973" w:rsidRDefault="00935973" w:rsidP="00935973">
      <w:pPr>
        <w:jc w:val="center"/>
        <w:rPr>
          <w:sz w:val="28"/>
          <w:szCs w:val="28"/>
        </w:rPr>
      </w:pPr>
    </w:p>
    <w:p w14:paraId="60267CFC" w14:textId="77777777" w:rsidR="00935973" w:rsidRDefault="00935973" w:rsidP="00935973">
      <w:pPr>
        <w:rPr>
          <w:sz w:val="28"/>
          <w:szCs w:val="28"/>
        </w:rPr>
      </w:pPr>
    </w:p>
    <w:p w14:paraId="0E00A9DA" w14:textId="77777777" w:rsidR="00935973" w:rsidRDefault="00935973" w:rsidP="0093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 Program Objectives</w:t>
      </w:r>
    </w:p>
    <w:p w14:paraId="4A80D2CE" w14:textId="6501EBD4" w:rsidR="00935973" w:rsidRPr="007909C9" w:rsidRDefault="00935973" w:rsidP="00935973">
      <w:r w:rsidRPr="007909C9">
        <w:t xml:space="preserve">The GIM Program </w:t>
      </w:r>
      <w:r>
        <w:t>enables</w:t>
      </w:r>
      <w:r w:rsidRPr="007909C9">
        <w:t xml:space="preserve"> Kellogg students to:</w:t>
      </w:r>
    </w:p>
    <w:p w14:paraId="4B241508" w14:textId="15C116A9" w:rsidR="00935973" w:rsidRPr="007909C9" w:rsidRDefault="00935973" w:rsidP="00935973">
      <w:pPr>
        <w:numPr>
          <w:ilvl w:val="0"/>
          <w:numId w:val="2"/>
        </w:numPr>
        <w:spacing w:line="276" w:lineRule="auto"/>
      </w:pPr>
      <w:r w:rsidRPr="007909C9">
        <w:t>Gain an understanding of the economic, political, social, and culture characteristics of a country or region outside the United States</w:t>
      </w:r>
      <w:r>
        <w:t>.</w:t>
      </w:r>
    </w:p>
    <w:p w14:paraId="4247B8D6" w14:textId="4C71FBFE" w:rsidR="00935973" w:rsidRPr="007909C9" w:rsidRDefault="00935973" w:rsidP="00935973">
      <w:pPr>
        <w:numPr>
          <w:ilvl w:val="0"/>
          <w:numId w:val="2"/>
        </w:numPr>
        <w:spacing w:line="276" w:lineRule="auto"/>
      </w:pPr>
      <w:r w:rsidRPr="007909C9">
        <w:t>Learn about key business trends</w:t>
      </w:r>
      <w:r>
        <w:t>, industries, and sectors</w:t>
      </w:r>
      <w:r w:rsidRPr="007909C9">
        <w:t xml:space="preserve"> in a country or region outside the United States</w:t>
      </w:r>
      <w:r>
        <w:t>.</w:t>
      </w:r>
    </w:p>
    <w:p w14:paraId="548AB6EB" w14:textId="4BDD22A1" w:rsidR="00935973" w:rsidRPr="007909C9" w:rsidRDefault="00935973" w:rsidP="00935973">
      <w:pPr>
        <w:numPr>
          <w:ilvl w:val="0"/>
          <w:numId w:val="2"/>
        </w:numPr>
        <w:spacing w:line="276" w:lineRule="auto"/>
      </w:pPr>
      <w:r w:rsidRPr="007909C9">
        <w:t>Conduct international business research on a topic of interest</w:t>
      </w:r>
      <w:r>
        <w:t>.</w:t>
      </w:r>
    </w:p>
    <w:p w14:paraId="689832A8" w14:textId="7D864EC7" w:rsidR="00935973" w:rsidRPr="007909C9" w:rsidRDefault="00935973" w:rsidP="00935973">
      <w:pPr>
        <w:numPr>
          <w:ilvl w:val="0"/>
          <w:numId w:val="2"/>
        </w:numPr>
        <w:spacing w:line="276" w:lineRule="auto"/>
      </w:pPr>
      <w:r w:rsidRPr="007909C9">
        <w:t>Further develop teamwork and leadership skills</w:t>
      </w:r>
      <w:r>
        <w:t>.</w:t>
      </w:r>
      <w:r w:rsidRPr="007909C9">
        <w:t xml:space="preserve"> </w:t>
      </w:r>
    </w:p>
    <w:p w14:paraId="31DC3657" w14:textId="77777777" w:rsidR="00935973" w:rsidRPr="006E049C" w:rsidRDefault="00935973" w:rsidP="00935973">
      <w:pPr>
        <w:rPr>
          <w:sz w:val="28"/>
          <w:szCs w:val="28"/>
        </w:rPr>
      </w:pPr>
    </w:p>
    <w:p w14:paraId="4F40C0FB" w14:textId="3E19F905" w:rsidR="00935973" w:rsidRDefault="00935973" w:rsidP="0093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 and Objectives</w:t>
      </w:r>
    </w:p>
    <w:p w14:paraId="43FF57B1" w14:textId="621E7BF2" w:rsidR="00935973" w:rsidRPr="00DF488F" w:rsidRDefault="00262463" w:rsidP="00262463">
      <w:r w:rsidRPr="00DF488F">
        <w:tab/>
        <w:t xml:space="preserve">The region known as the Middle East, with particular emphasis on the </w:t>
      </w:r>
      <w:r w:rsidR="00482213" w:rsidRPr="00DF488F">
        <w:t xml:space="preserve">political and economic alliance of the </w:t>
      </w:r>
      <w:r w:rsidRPr="00DF488F">
        <w:t xml:space="preserve">Gulf Cooperation Council (GCC) states, has grown </w:t>
      </w:r>
      <w:r w:rsidR="00482213" w:rsidRPr="00DF488F">
        <w:t xml:space="preserve">exponentially </w:t>
      </w:r>
      <w:r w:rsidRPr="00DF488F">
        <w:t xml:space="preserve">over the past forty years. From its roots as a sparsely inhabited desert region to a major global center for energy, financial and consumer commerce, the rise of the Middle East has profound implications for </w:t>
      </w:r>
      <w:r w:rsidR="00482213" w:rsidRPr="00DF488F">
        <w:t xml:space="preserve">international business. This class will introduce students to the cultural, political and economic history of the region and its rise to power. </w:t>
      </w:r>
      <w:r w:rsidR="0009271B">
        <w:t>In-</w:t>
      </w:r>
      <w:r w:rsidR="006E43F1" w:rsidRPr="00DF488F">
        <w:t>class readings and discu</w:t>
      </w:r>
      <w:r w:rsidR="00DF488F">
        <w:t xml:space="preserve">ssions will be supplemented by </w:t>
      </w:r>
      <w:r w:rsidR="00AA06B1">
        <w:t>in-</w:t>
      </w:r>
      <w:r w:rsidR="00AA06B1" w:rsidRPr="00DF488F">
        <w:t>country</w:t>
      </w:r>
      <w:r w:rsidR="00DF488F">
        <w:t xml:space="preserve"> (region)</w:t>
      </w:r>
      <w:r w:rsidR="006E43F1" w:rsidRPr="00DF488F">
        <w:t xml:space="preserve"> research and meeting opportunities. </w:t>
      </w:r>
    </w:p>
    <w:p w14:paraId="1827E4D5" w14:textId="69DAC394" w:rsidR="006E43F1" w:rsidRPr="00DF488F" w:rsidRDefault="006E43F1" w:rsidP="00262463">
      <w:r w:rsidRPr="00DF488F">
        <w:t>Objectives:</w:t>
      </w:r>
    </w:p>
    <w:p w14:paraId="73E0A855" w14:textId="57D3607F" w:rsidR="006E43F1" w:rsidRPr="00DF488F" w:rsidRDefault="00DF488F" w:rsidP="006E43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488F">
        <w:rPr>
          <w:sz w:val="24"/>
          <w:szCs w:val="24"/>
        </w:rPr>
        <w:t>Gain a working knowledge of the h</w:t>
      </w:r>
      <w:r w:rsidR="006E43F1" w:rsidRPr="00DF488F">
        <w:rPr>
          <w:sz w:val="24"/>
          <w:szCs w:val="24"/>
        </w:rPr>
        <w:t>istory and politics of the Middle East as it pertains to business opportunities in the region.</w:t>
      </w:r>
    </w:p>
    <w:p w14:paraId="137B6B17" w14:textId="31C57796" w:rsidR="006E43F1" w:rsidRPr="00DF488F" w:rsidRDefault="00DF488F" w:rsidP="006E43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488F">
        <w:rPr>
          <w:sz w:val="24"/>
          <w:szCs w:val="24"/>
        </w:rPr>
        <w:t>Gain a working knowledge of the e</w:t>
      </w:r>
      <w:r w:rsidR="006E43F1" w:rsidRPr="00DF488F">
        <w:rPr>
          <w:sz w:val="24"/>
          <w:szCs w:val="24"/>
        </w:rPr>
        <w:t>conomic climate of the region, with particular emphasis on GCC countries.</w:t>
      </w:r>
    </w:p>
    <w:p w14:paraId="3E72979D" w14:textId="3AA4B12F" w:rsidR="006E43F1" w:rsidRPr="00DF488F" w:rsidRDefault="00DF488F" w:rsidP="006E43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488F">
        <w:rPr>
          <w:sz w:val="24"/>
          <w:szCs w:val="24"/>
        </w:rPr>
        <w:t>Gain a working knowledge of the c</w:t>
      </w:r>
      <w:r w:rsidR="006E43F1" w:rsidRPr="00DF488F">
        <w:rPr>
          <w:sz w:val="24"/>
          <w:szCs w:val="24"/>
        </w:rPr>
        <w:t xml:space="preserve">ulture </w:t>
      </w:r>
      <w:r>
        <w:rPr>
          <w:sz w:val="24"/>
          <w:szCs w:val="24"/>
        </w:rPr>
        <w:t xml:space="preserve">and society </w:t>
      </w:r>
      <w:r w:rsidR="006E43F1" w:rsidRPr="00DF488F">
        <w:rPr>
          <w:sz w:val="24"/>
          <w:szCs w:val="24"/>
        </w:rPr>
        <w:t>of the region, especially as it pertains to tourism, consumer markets and expatriate life.</w:t>
      </w:r>
    </w:p>
    <w:p w14:paraId="4A6D5832" w14:textId="328790C7" w:rsidR="00DF488F" w:rsidRDefault="00DF488F" w:rsidP="006E43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opportunities to interact with organizations in the region to further hands-on knowledge of the region.</w:t>
      </w:r>
    </w:p>
    <w:p w14:paraId="35D40BA1" w14:textId="5801FC97" w:rsidR="00935973" w:rsidRPr="00822343" w:rsidRDefault="00DF488F" w:rsidP="008223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Research topics of interest in depth, supplemented by in-country research opportunities.</w:t>
      </w:r>
    </w:p>
    <w:p w14:paraId="3CB2BCA9" w14:textId="77777777" w:rsidR="00C242B4" w:rsidRDefault="00C242B4" w:rsidP="00822343">
      <w:pPr>
        <w:rPr>
          <w:rFonts w:cstheme="minorHAnsi"/>
          <w:b/>
          <w:sz w:val="28"/>
          <w:szCs w:val="28"/>
        </w:rPr>
      </w:pPr>
    </w:p>
    <w:p w14:paraId="5085E283" w14:textId="77777777" w:rsidR="00935973" w:rsidRPr="006106C7" w:rsidRDefault="00935973" w:rsidP="0093597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Attendance Policy</w:t>
      </w:r>
    </w:p>
    <w:p w14:paraId="0EECC3A9" w14:textId="63680D82" w:rsidR="00935973" w:rsidRPr="00481FE0" w:rsidRDefault="000728F9" w:rsidP="00E53366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Due to the nature of the GIM program, a</w:t>
      </w:r>
      <w:r w:rsidR="00935973" w:rsidRPr="006106C7">
        <w:rPr>
          <w:rFonts w:cstheme="minorHAnsi"/>
        </w:rPr>
        <w:t>ttendance</w:t>
      </w:r>
      <w:r w:rsidR="00AA6D45">
        <w:rPr>
          <w:rFonts w:cstheme="minorHAnsi"/>
        </w:rPr>
        <w:t xml:space="preserve"> for all GIM classes </w:t>
      </w:r>
      <w:r w:rsidR="00935973" w:rsidRPr="006106C7">
        <w:rPr>
          <w:rFonts w:cstheme="minorHAnsi"/>
        </w:rPr>
        <w:t>is mandatory</w:t>
      </w:r>
      <w:r w:rsidR="00E53366">
        <w:rPr>
          <w:rFonts w:cstheme="minorHAnsi"/>
        </w:rPr>
        <w:t>,</w:t>
      </w:r>
      <w:r w:rsidR="00935973">
        <w:rPr>
          <w:rFonts w:cstheme="minorHAnsi"/>
        </w:rPr>
        <w:t xml:space="preserve"> as is participation in the </w:t>
      </w:r>
      <w:r w:rsidR="004D4127">
        <w:rPr>
          <w:rFonts w:cstheme="minorHAnsi"/>
        </w:rPr>
        <w:t>10--day</w:t>
      </w:r>
      <w:r w:rsidR="00935973">
        <w:rPr>
          <w:rFonts w:cstheme="minorHAnsi"/>
        </w:rPr>
        <w:t xml:space="preserve"> field trip.   Attendance on the first day of class is </w:t>
      </w:r>
      <w:r w:rsidR="00E53366">
        <w:rPr>
          <w:rFonts w:cstheme="minorHAnsi"/>
        </w:rPr>
        <w:t xml:space="preserve">also </w:t>
      </w:r>
      <w:r w:rsidR="00935973">
        <w:rPr>
          <w:rFonts w:cstheme="minorHAnsi"/>
        </w:rPr>
        <w:t xml:space="preserve">mandatory.  </w:t>
      </w:r>
      <w:r w:rsidR="00935973" w:rsidRPr="006106C7">
        <w:rPr>
          <w:rFonts w:cstheme="minorHAnsi"/>
        </w:rPr>
        <w:t>If a stu</w:t>
      </w:r>
      <w:r w:rsidR="00935973">
        <w:rPr>
          <w:rFonts w:cstheme="minorHAnsi"/>
        </w:rPr>
        <w:t>dent misses more than one class throughout the term,</w:t>
      </w:r>
      <w:r w:rsidR="00935973" w:rsidRPr="006106C7">
        <w:rPr>
          <w:rFonts w:cstheme="minorHAnsi"/>
        </w:rPr>
        <w:t xml:space="preserve"> one letter grade will be deducte</w:t>
      </w:r>
      <w:r w:rsidR="00935973">
        <w:rPr>
          <w:rFonts w:cstheme="minorHAnsi"/>
        </w:rPr>
        <w:t xml:space="preserve">d from his or her final grade.  Exceptions may be made by the faculty member in cases of extreme circumstances.    </w:t>
      </w:r>
    </w:p>
    <w:p w14:paraId="2C1AEA29" w14:textId="77777777" w:rsidR="00935973" w:rsidRDefault="00935973" w:rsidP="0093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 of the In-Country Advisor</w:t>
      </w:r>
    </w:p>
    <w:p w14:paraId="29BBFA17" w14:textId="56988182" w:rsidR="00D30941" w:rsidRDefault="00935973" w:rsidP="00D30941">
      <w:r>
        <w:t xml:space="preserve">Throughout your GIM trip, you will be accompanied by </w:t>
      </w:r>
      <w:r w:rsidR="00A43589">
        <w:t>an in-country advisor, Matthew Temple</w:t>
      </w:r>
      <w:r w:rsidR="000B69BA">
        <w:t xml:space="preserve">, </w:t>
      </w:r>
      <w:r>
        <w:t xml:space="preserve">who is a staff member at Kellogg.  The in-country advisor is </w:t>
      </w:r>
      <w:r w:rsidR="00E91CAF">
        <w:t>responsible for the integrity and quality of the in-country experience.</w:t>
      </w:r>
      <w:r>
        <w:t xml:space="preserve">  Among other logistical roles during the trip, he or she will be assessing each student’s level of participation during the plenary meetings and will be assigning 15% of the students’ overall grade.  </w:t>
      </w:r>
    </w:p>
    <w:p w14:paraId="7312709E" w14:textId="77777777" w:rsidR="00481FE0" w:rsidRDefault="00481FE0" w:rsidP="00481FE0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Kellogg Honor Code</w:t>
      </w:r>
    </w:p>
    <w:p w14:paraId="2577446D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r w:rsidRPr="00AC7335">
        <w:rPr>
          <w:rFonts w:cstheme="minorHAnsi"/>
        </w:rPr>
        <w:t>The students of the Kell</w:t>
      </w:r>
      <w:r>
        <w:rPr>
          <w:rFonts w:cstheme="minorHAnsi"/>
        </w:rPr>
        <w:t xml:space="preserve">ogg School of Management regard </w:t>
      </w:r>
      <w:r w:rsidRPr="00AC7335">
        <w:rPr>
          <w:rFonts w:cstheme="minorHAnsi"/>
        </w:rPr>
        <w:t>honesty and integrity as qual</w:t>
      </w:r>
      <w:r>
        <w:rPr>
          <w:rFonts w:cstheme="minorHAnsi"/>
        </w:rPr>
        <w:t xml:space="preserve">ities essential to the practice </w:t>
      </w:r>
      <w:r w:rsidRPr="00AC7335">
        <w:rPr>
          <w:rFonts w:cstheme="minorHAnsi"/>
        </w:rPr>
        <w:t>and profession of managem</w:t>
      </w:r>
      <w:r>
        <w:rPr>
          <w:rFonts w:cstheme="minorHAnsi"/>
        </w:rPr>
        <w:t xml:space="preserve">ent. The purpose of the Kellogg </w:t>
      </w:r>
      <w:r w:rsidRPr="00AC7335">
        <w:rPr>
          <w:rFonts w:cstheme="minorHAnsi"/>
        </w:rPr>
        <w:t>Honor Code is to promote these</w:t>
      </w:r>
      <w:r>
        <w:rPr>
          <w:rFonts w:cstheme="minorHAnsi"/>
        </w:rPr>
        <w:t xml:space="preserve"> qualities so that each student </w:t>
      </w:r>
      <w:r w:rsidRPr="00AC7335">
        <w:rPr>
          <w:rFonts w:cstheme="minorHAnsi"/>
        </w:rPr>
        <w:t>can fully develop his or</w:t>
      </w:r>
      <w:r>
        <w:rPr>
          <w:rFonts w:cstheme="minorHAnsi"/>
        </w:rPr>
        <w:t xml:space="preserve"> her individual potential. Upon </w:t>
      </w:r>
      <w:r w:rsidRPr="00AC7335">
        <w:rPr>
          <w:rFonts w:cstheme="minorHAnsi"/>
        </w:rPr>
        <w:t>admission, each student</w:t>
      </w:r>
      <w:r>
        <w:rPr>
          <w:rFonts w:cstheme="minorHAnsi"/>
        </w:rPr>
        <w:t xml:space="preserve"> makes an agreement with his or </w:t>
      </w:r>
      <w:r w:rsidRPr="00AC7335">
        <w:rPr>
          <w:rFonts w:cstheme="minorHAnsi"/>
        </w:rPr>
        <w:t>her fellow students to a</w:t>
      </w:r>
      <w:r>
        <w:rPr>
          <w:rFonts w:cstheme="minorHAnsi"/>
        </w:rPr>
        <w:t xml:space="preserve">bide by the Kellogg Honor Code. </w:t>
      </w:r>
      <w:r w:rsidRPr="00AC7335">
        <w:rPr>
          <w:rFonts w:cstheme="minorHAnsi"/>
        </w:rPr>
        <w:t>Students who violate the Kellogg Honor Code violate this</w:t>
      </w:r>
    </w:p>
    <w:p w14:paraId="6B88DA25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AC7335">
        <w:rPr>
          <w:rFonts w:cstheme="minorHAnsi"/>
        </w:rPr>
        <w:t>agreement</w:t>
      </w:r>
      <w:proofErr w:type="gramEnd"/>
      <w:r w:rsidRPr="00AC7335">
        <w:rPr>
          <w:rFonts w:cstheme="minorHAnsi"/>
        </w:rPr>
        <w:t xml:space="preserve"> and must ac</w:t>
      </w:r>
      <w:r>
        <w:rPr>
          <w:rFonts w:cstheme="minorHAnsi"/>
        </w:rPr>
        <w:t xml:space="preserve">cept the sanction(s) imposed by </w:t>
      </w:r>
      <w:r w:rsidRPr="00AC7335">
        <w:rPr>
          <w:rFonts w:cstheme="minorHAnsi"/>
        </w:rPr>
        <w:t>the Kellogg community.</w:t>
      </w:r>
    </w:p>
    <w:p w14:paraId="7C25A164" w14:textId="77777777" w:rsidR="00481FE0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AAD8585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r w:rsidRPr="00AC7335">
        <w:rPr>
          <w:rFonts w:cstheme="minorHAnsi"/>
        </w:rPr>
        <w:t xml:space="preserve">The Kellogg Honor Code </w:t>
      </w:r>
      <w:r>
        <w:rPr>
          <w:rFonts w:cstheme="minorHAnsi"/>
        </w:rPr>
        <w:t xml:space="preserve">is administered by students and </w:t>
      </w:r>
      <w:r w:rsidRPr="00AC7335">
        <w:rPr>
          <w:rFonts w:cstheme="minorHAnsi"/>
        </w:rPr>
        <w:t>is based on the concept o</w:t>
      </w:r>
      <w:r>
        <w:rPr>
          <w:rFonts w:cstheme="minorHAnsi"/>
        </w:rPr>
        <w:t xml:space="preserve">f self-government. The efficacy </w:t>
      </w:r>
      <w:r w:rsidRPr="00AC7335">
        <w:rPr>
          <w:rFonts w:cstheme="minorHAnsi"/>
        </w:rPr>
        <w:t>of such a student-admin</w:t>
      </w:r>
      <w:r>
        <w:rPr>
          <w:rFonts w:cstheme="minorHAnsi"/>
        </w:rPr>
        <w:t xml:space="preserve">istered honor code is dependent </w:t>
      </w:r>
      <w:r w:rsidRPr="00AC7335">
        <w:rPr>
          <w:rFonts w:cstheme="minorHAnsi"/>
        </w:rPr>
        <w:t>upon a high degree of dedic</w:t>
      </w:r>
      <w:r>
        <w:rPr>
          <w:rFonts w:cstheme="minorHAnsi"/>
        </w:rPr>
        <w:t xml:space="preserve">ation to the ideals of honesty, </w:t>
      </w:r>
      <w:r w:rsidRPr="00AC7335">
        <w:rPr>
          <w:rFonts w:cstheme="minorHAnsi"/>
        </w:rPr>
        <w:t xml:space="preserve">integrity and equal opportunity reflected </w:t>
      </w:r>
      <w:r>
        <w:rPr>
          <w:rFonts w:cstheme="minorHAnsi"/>
        </w:rPr>
        <w:t xml:space="preserve">by the code. The </w:t>
      </w:r>
      <w:r w:rsidRPr="00AC7335">
        <w:rPr>
          <w:rFonts w:cstheme="minorHAnsi"/>
        </w:rPr>
        <w:t>Kellogg Honor Code requ</w:t>
      </w:r>
      <w:r>
        <w:rPr>
          <w:rFonts w:cstheme="minorHAnsi"/>
        </w:rPr>
        <w:t xml:space="preserve">ires that each student act with </w:t>
      </w:r>
      <w:r w:rsidRPr="00AC7335">
        <w:rPr>
          <w:rFonts w:cstheme="minorHAnsi"/>
        </w:rPr>
        <w:t>integrity in all Kellogg activi</w:t>
      </w:r>
      <w:r>
        <w:rPr>
          <w:rFonts w:cstheme="minorHAnsi"/>
        </w:rPr>
        <w:t xml:space="preserve">ties and that each student hold </w:t>
      </w:r>
      <w:r w:rsidRPr="00AC7335">
        <w:rPr>
          <w:rFonts w:cstheme="minorHAnsi"/>
        </w:rPr>
        <w:t>his or her peers to the same standard. In agreeing to abide</w:t>
      </w:r>
    </w:p>
    <w:p w14:paraId="7DE81375" w14:textId="77777777" w:rsidR="00481FE0" w:rsidRPr="007970D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AC7335">
        <w:rPr>
          <w:rFonts w:cstheme="minorHAnsi"/>
        </w:rPr>
        <w:t>by</w:t>
      </w:r>
      <w:proofErr w:type="gramEnd"/>
      <w:r w:rsidRPr="00AC7335">
        <w:rPr>
          <w:rFonts w:cstheme="minorHAnsi"/>
        </w:rPr>
        <w:t xml:space="preserve"> the code, the Kellogg students also agree to report suspec</w:t>
      </w:r>
      <w:r>
        <w:rPr>
          <w:rFonts w:cstheme="minorHAnsi"/>
        </w:rPr>
        <w:t xml:space="preserve">ted </w:t>
      </w:r>
      <w:r w:rsidRPr="00AC7335">
        <w:rPr>
          <w:rFonts w:cstheme="minorHAnsi"/>
        </w:rPr>
        <w:t>violations. By not t</w:t>
      </w:r>
      <w:r>
        <w:rPr>
          <w:rFonts w:cstheme="minorHAnsi"/>
        </w:rPr>
        <w:t xml:space="preserve">olerating lapses in honesty and </w:t>
      </w:r>
      <w:r w:rsidRPr="00AC7335">
        <w:rPr>
          <w:rFonts w:cstheme="minorHAnsi"/>
        </w:rPr>
        <w:t>integrity, the Kellogg community affirms the importance of these values</w:t>
      </w:r>
      <w:r>
        <w:rPr>
          <w:rFonts w:cstheme="minorHAnsi"/>
        </w:rPr>
        <w:t>.</w:t>
      </w:r>
    </w:p>
    <w:p w14:paraId="401B5180" w14:textId="77777777" w:rsidR="00481FE0" w:rsidRDefault="00481FE0" w:rsidP="00D30941">
      <w:pPr>
        <w:rPr>
          <w:rFonts w:eastAsia="Times New Roman" w:cstheme="minorHAnsi"/>
          <w:b/>
          <w:bCs/>
          <w:sz w:val="28"/>
          <w:szCs w:val="28"/>
        </w:rPr>
      </w:pPr>
    </w:p>
    <w:p w14:paraId="17B5D1DD" w14:textId="2B760924" w:rsidR="00D30941" w:rsidRPr="00D30941" w:rsidRDefault="00D30941" w:rsidP="00D30941">
      <w:pPr>
        <w:jc w:val="center"/>
      </w:pPr>
      <w:r>
        <w:rPr>
          <w:rFonts w:eastAsia="Times New Roman" w:cstheme="minorHAnsi"/>
          <w:b/>
          <w:sz w:val="28"/>
          <w:szCs w:val="28"/>
        </w:rPr>
        <w:t>Course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0941" w14:paraId="0FAC72F9" w14:textId="77777777" w:rsidTr="00D30941">
        <w:tc>
          <w:tcPr>
            <w:tcW w:w="9576" w:type="dxa"/>
            <w:shd w:val="clear" w:color="auto" w:fill="auto"/>
          </w:tcPr>
          <w:p w14:paraId="3540BD57" w14:textId="555AED74" w:rsidR="00D30941" w:rsidRPr="004053B9" w:rsidRDefault="00762D55" w:rsidP="00D309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Books:</w:t>
            </w:r>
          </w:p>
        </w:tc>
      </w:tr>
      <w:tr w:rsidR="00D30941" w14:paraId="1588598F" w14:textId="77777777" w:rsidTr="00D30941">
        <w:tc>
          <w:tcPr>
            <w:tcW w:w="9576" w:type="dxa"/>
            <w:shd w:val="clear" w:color="auto" w:fill="CCC0D9" w:themeFill="accent4" w:themeFillTint="66"/>
          </w:tcPr>
          <w:p w14:paraId="65C36F0E" w14:textId="1C5454E8" w:rsidR="00D30941" w:rsidRPr="004053B9" w:rsidRDefault="00762D55" w:rsidP="00D30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Arabian Sands, Wilfred </w:t>
            </w:r>
            <w:proofErr w:type="spellStart"/>
            <w:r>
              <w:rPr>
                <w:rFonts w:cstheme="minorHAnsi"/>
              </w:rPr>
              <w:t>Theisiger</w:t>
            </w:r>
            <w:proofErr w:type="spellEnd"/>
          </w:p>
        </w:tc>
      </w:tr>
      <w:tr w:rsidR="00D30941" w14:paraId="0256CC50" w14:textId="77777777" w:rsidTr="00D30941">
        <w:trPr>
          <w:trHeight w:val="287"/>
        </w:trPr>
        <w:tc>
          <w:tcPr>
            <w:tcW w:w="9576" w:type="dxa"/>
            <w:tcBorders>
              <w:right w:val="single" w:sz="4" w:space="0" w:color="auto"/>
            </w:tcBorders>
            <w:shd w:val="clear" w:color="auto" w:fill="auto"/>
          </w:tcPr>
          <w:p w14:paraId="2AE084E3" w14:textId="6A4A12FC" w:rsidR="00D30941" w:rsidRPr="004053B9" w:rsidRDefault="00762D55" w:rsidP="00D30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Dubai &amp; Co., </w:t>
            </w:r>
            <w:proofErr w:type="spellStart"/>
            <w:r>
              <w:rPr>
                <w:rFonts w:cstheme="minorHAnsi"/>
              </w:rPr>
              <w:t>Aamir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Rehman</w:t>
            </w:r>
            <w:proofErr w:type="spellEnd"/>
          </w:p>
        </w:tc>
      </w:tr>
      <w:tr w:rsidR="00D30941" w14:paraId="3D742ADE" w14:textId="77777777" w:rsidTr="00D30941">
        <w:tc>
          <w:tcPr>
            <w:tcW w:w="957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56E8D65A" w14:textId="2DDC999F" w:rsidR="00D30941" w:rsidRPr="00970C83" w:rsidRDefault="00970C83" w:rsidP="00D30941">
            <w:pPr>
              <w:rPr>
                <w:rFonts w:cstheme="minorHAnsi"/>
              </w:rPr>
            </w:pPr>
            <w:r>
              <w:rPr>
                <w:rFonts w:cstheme="minorHAnsi"/>
              </w:rPr>
              <w:t>Contemporary Islamic Finance, Karen Hunt Ahmed</w:t>
            </w:r>
          </w:p>
        </w:tc>
      </w:tr>
      <w:tr w:rsidR="00D30941" w14:paraId="29C28D28" w14:textId="77777777" w:rsidTr="00D30941">
        <w:trPr>
          <w:trHeight w:val="260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2C9D4DE8" w14:textId="64CBF8E4" w:rsidR="00D30941" w:rsidRPr="004053B9" w:rsidRDefault="00762D55" w:rsidP="00D30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**Articles </w:t>
            </w:r>
            <w:r w:rsidR="008950E0">
              <w:rPr>
                <w:rFonts w:cstheme="minorHAnsi"/>
              </w:rPr>
              <w:t xml:space="preserve">and cases </w:t>
            </w:r>
            <w:r>
              <w:rPr>
                <w:rFonts w:cstheme="minorHAnsi"/>
              </w:rPr>
              <w:t>will be assigned and posted as appropriate</w:t>
            </w:r>
            <w:r w:rsidR="007D279A">
              <w:rPr>
                <w:rFonts w:cstheme="minorHAnsi"/>
              </w:rPr>
              <w:t>; Typical reading assignment will be about 60-100 pages per week.</w:t>
            </w:r>
          </w:p>
        </w:tc>
      </w:tr>
      <w:tr w:rsidR="00D30941" w14:paraId="59BB13C1" w14:textId="77777777" w:rsidTr="00D30941">
        <w:trPr>
          <w:trHeight w:val="197"/>
        </w:trPr>
        <w:tc>
          <w:tcPr>
            <w:tcW w:w="9576" w:type="dxa"/>
            <w:shd w:val="clear" w:color="auto" w:fill="CCC0D9" w:themeFill="accent4" w:themeFillTint="66"/>
          </w:tcPr>
          <w:p w14:paraId="27AE0323" w14:textId="5D2C8F58" w:rsidR="00D30941" w:rsidRPr="004053B9" w:rsidRDefault="005423F7" w:rsidP="00D30941">
            <w:pPr>
              <w:rPr>
                <w:rFonts w:cstheme="minorHAnsi"/>
              </w:rPr>
            </w:pPr>
            <w:r w:rsidRPr="00C621D3">
              <w:rPr>
                <w:rFonts w:cstheme="minorHAnsi"/>
                <w:b/>
              </w:rPr>
              <w:t>Please note</w:t>
            </w:r>
            <w:r>
              <w:rPr>
                <w:rFonts w:cstheme="minorHAnsi"/>
              </w:rPr>
              <w:t>: I plan to have 3 guest speakers this quarter. I</w:t>
            </w:r>
            <w:r w:rsidR="00C627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am in the process of confirming them</w:t>
            </w:r>
            <w:r w:rsidR="00AB6D54">
              <w:rPr>
                <w:rFonts w:cstheme="minorHAnsi"/>
              </w:rPr>
              <w:t xml:space="preserve"> so dates may change as needed</w:t>
            </w:r>
            <w:r>
              <w:rPr>
                <w:rFonts w:cstheme="minorHAnsi"/>
              </w:rPr>
              <w:t xml:space="preserve">. </w:t>
            </w:r>
            <w:r w:rsidR="00AB6D54">
              <w:rPr>
                <w:rFonts w:cstheme="minorHAnsi"/>
              </w:rPr>
              <w:t>A</w:t>
            </w:r>
            <w:r w:rsidR="00C6278F">
              <w:rPr>
                <w:rFonts w:cstheme="minorHAnsi"/>
              </w:rPr>
              <w:t>ssignments will be finalized before Winter Break.</w:t>
            </w:r>
          </w:p>
        </w:tc>
      </w:tr>
    </w:tbl>
    <w:p w14:paraId="58A9FB10" w14:textId="7C565436" w:rsidR="00935973" w:rsidRDefault="00935973" w:rsidP="00935973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Course Schedule</w:t>
      </w:r>
      <w:r w:rsidR="002C590C">
        <w:rPr>
          <w:rFonts w:eastAsia="Times New Roman" w:cstheme="minorHAnsi"/>
          <w:b/>
          <w:sz w:val="28"/>
          <w:szCs w:val="28"/>
        </w:rPr>
        <w:t xml:space="preserve"> and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22A653AE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0C1186DB" w14:textId="77777777" w:rsidR="00935973" w:rsidRPr="00CB6B24" w:rsidRDefault="00935973" w:rsidP="00935973">
            <w:pPr>
              <w:rPr>
                <w:rFonts w:eastAsia="Times New Roman" w:cstheme="minorHAnsi"/>
                <w:b/>
              </w:rPr>
            </w:pPr>
            <w:r w:rsidRPr="00CB6B24">
              <w:rPr>
                <w:rFonts w:eastAsia="Times New Roman" w:cstheme="minorHAnsi"/>
                <w:b/>
              </w:rPr>
              <w:t>Week 1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176F4492" w14:textId="277B6FC2" w:rsidR="00935973" w:rsidRPr="00CB6B24" w:rsidRDefault="00423BEF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3,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935973" w14:paraId="4C4A7464" w14:textId="77777777" w:rsidTr="00935973">
        <w:tc>
          <w:tcPr>
            <w:tcW w:w="1998" w:type="dxa"/>
          </w:tcPr>
          <w:p w14:paraId="61E50E5B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2B64923A" w14:textId="4530F343" w:rsidR="00935973" w:rsidRPr="00CB6B24" w:rsidRDefault="00815141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Introduction to Culture of </w:t>
            </w:r>
            <w:r w:rsidR="00C621D3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Middle East</w:t>
            </w:r>
          </w:p>
        </w:tc>
      </w:tr>
      <w:tr w:rsidR="00935973" w14:paraId="28A33427" w14:textId="77777777" w:rsidTr="00935973">
        <w:tc>
          <w:tcPr>
            <w:tcW w:w="1998" w:type="dxa"/>
          </w:tcPr>
          <w:p w14:paraId="5F5FF871" w14:textId="7875978A" w:rsidR="00935973" w:rsidRPr="00F90E98" w:rsidRDefault="00423BEF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</w:t>
            </w:r>
          </w:p>
        </w:tc>
        <w:tc>
          <w:tcPr>
            <w:tcW w:w="7578" w:type="dxa"/>
          </w:tcPr>
          <w:p w14:paraId="7FCAF844" w14:textId="2B07E86F" w:rsidR="00935973" w:rsidRPr="00CB6B24" w:rsidRDefault="00815141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Read: Arabian Sands</w:t>
            </w:r>
          </w:p>
        </w:tc>
      </w:tr>
      <w:tr w:rsidR="00935973" w14:paraId="7484F3BE" w14:textId="77777777" w:rsidTr="00935973">
        <w:tc>
          <w:tcPr>
            <w:tcW w:w="1998" w:type="dxa"/>
          </w:tcPr>
          <w:p w14:paraId="181481EE" w14:textId="499E73B5" w:rsidR="00935973" w:rsidRPr="00F90E98" w:rsidRDefault="00423BEF" w:rsidP="00423BEF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**Please Note</w:t>
            </w:r>
          </w:p>
        </w:tc>
        <w:tc>
          <w:tcPr>
            <w:tcW w:w="7578" w:type="dxa"/>
          </w:tcPr>
          <w:p w14:paraId="65C93F0E" w14:textId="5EC9C097" w:rsidR="00935973" w:rsidRPr="00CB6B24" w:rsidRDefault="00423BEF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Weekly topics are subject to change based on speaker availability.</w:t>
            </w:r>
          </w:p>
        </w:tc>
      </w:tr>
    </w:tbl>
    <w:p w14:paraId="2B87C34D" w14:textId="77777777" w:rsidR="00935973" w:rsidRPr="00807998" w:rsidRDefault="00935973" w:rsidP="00935973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6D08250B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125C1D71" w14:textId="77777777" w:rsidR="00935973" w:rsidRPr="00CB6B24" w:rsidRDefault="00935973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2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72E241ED" w14:textId="6A333C94" w:rsidR="00935973" w:rsidRPr="00CB6B24" w:rsidRDefault="00423BEF" w:rsidP="004D4127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10,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935973" w14:paraId="7301FE13" w14:textId="77777777" w:rsidTr="00935973">
        <w:tc>
          <w:tcPr>
            <w:tcW w:w="1998" w:type="dxa"/>
          </w:tcPr>
          <w:p w14:paraId="6C821240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550319CF" w14:textId="72267D36" w:rsidR="00935973" w:rsidRPr="00CB6B24" w:rsidRDefault="00423BEF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Political Climate</w:t>
            </w:r>
          </w:p>
        </w:tc>
      </w:tr>
      <w:tr w:rsidR="00935973" w14:paraId="720ECAF7" w14:textId="77777777" w:rsidTr="00935973">
        <w:tc>
          <w:tcPr>
            <w:tcW w:w="1998" w:type="dxa"/>
          </w:tcPr>
          <w:p w14:paraId="2E7D23FA" w14:textId="24231D44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7578" w:type="dxa"/>
          </w:tcPr>
          <w:p w14:paraId="11D9F814" w14:textId="77777777" w:rsidR="00935973" w:rsidRPr="00CB6B24" w:rsidRDefault="00935973" w:rsidP="00935973">
            <w:pPr>
              <w:rPr>
                <w:rFonts w:eastAsia="Times New Roman" w:cstheme="minorHAnsi"/>
              </w:rPr>
            </w:pPr>
          </w:p>
        </w:tc>
      </w:tr>
      <w:tr w:rsidR="00935973" w14:paraId="2B5D71CB" w14:textId="77777777" w:rsidTr="00935973">
        <w:tc>
          <w:tcPr>
            <w:tcW w:w="1998" w:type="dxa"/>
          </w:tcPr>
          <w:p w14:paraId="3C8D4C4F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13B53FCE" w14:textId="0965E708" w:rsidR="00935973" w:rsidRPr="00CB6B24" w:rsidRDefault="00970C83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  <w:r w:rsidR="001D7899">
              <w:rPr>
                <w:rFonts w:eastAsia="Times New Roman" w:cstheme="minorHAnsi"/>
              </w:rPr>
              <w:t>; **Schedule IPG meetings for Week 3</w:t>
            </w:r>
          </w:p>
        </w:tc>
      </w:tr>
    </w:tbl>
    <w:p w14:paraId="3AE335D0" w14:textId="77777777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3C4CBAAB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399447D3" w14:textId="77777777" w:rsidR="00935973" w:rsidRPr="00CB6B24" w:rsidRDefault="00935973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3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08944CA3" w14:textId="57AC1E65" w:rsidR="00935973" w:rsidRPr="00CB6B24" w:rsidRDefault="00886ABC" w:rsidP="00AB3B5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17,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935973" w14:paraId="6FEDBD94" w14:textId="77777777" w:rsidTr="00935973">
        <w:tc>
          <w:tcPr>
            <w:tcW w:w="1998" w:type="dxa"/>
          </w:tcPr>
          <w:p w14:paraId="66A20776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710535CC" w14:textId="5E272E48" w:rsidR="00935973" w:rsidRPr="00CB6B24" w:rsidRDefault="00970C83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Oil/Energy</w:t>
            </w:r>
          </w:p>
        </w:tc>
      </w:tr>
      <w:tr w:rsidR="00935973" w14:paraId="6FAF4B1E" w14:textId="77777777" w:rsidTr="00935973">
        <w:tc>
          <w:tcPr>
            <w:tcW w:w="1998" w:type="dxa"/>
          </w:tcPr>
          <w:p w14:paraId="0E8EDB51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19807258" w14:textId="77777777" w:rsidR="00935973" w:rsidRPr="00CB6B24" w:rsidRDefault="00935973" w:rsidP="00935973">
            <w:pPr>
              <w:rPr>
                <w:rFonts w:eastAsia="Times New Roman" w:cstheme="minorHAnsi"/>
              </w:rPr>
            </w:pPr>
          </w:p>
        </w:tc>
      </w:tr>
      <w:tr w:rsidR="007372EA" w14:paraId="3FD5F869" w14:textId="77777777" w:rsidTr="007372EA">
        <w:trPr>
          <w:trHeight w:val="319"/>
        </w:trPr>
        <w:tc>
          <w:tcPr>
            <w:tcW w:w="1998" w:type="dxa"/>
          </w:tcPr>
          <w:p w14:paraId="32E1C419" w14:textId="77777777" w:rsidR="007372EA" w:rsidRPr="00F90E98" w:rsidRDefault="007372EA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1A2CB2D9" w14:textId="7E214A2A" w:rsidR="007372EA" w:rsidRPr="00CB6B24" w:rsidRDefault="007372EA" w:rsidP="007372E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970C83">
              <w:rPr>
                <w:rFonts w:eastAsia="Times New Roman" w:cstheme="minorHAnsi"/>
              </w:rPr>
              <w:t>TBD</w:t>
            </w:r>
          </w:p>
        </w:tc>
      </w:tr>
      <w:tr w:rsidR="007372EA" w14:paraId="7D2A31C9" w14:textId="77777777" w:rsidTr="007372EA">
        <w:trPr>
          <w:trHeight w:val="263"/>
        </w:trPr>
        <w:tc>
          <w:tcPr>
            <w:tcW w:w="1998" w:type="dxa"/>
            <w:tcBorders>
              <w:bottom w:val="single" w:sz="4" w:space="0" w:color="auto"/>
            </w:tcBorders>
          </w:tcPr>
          <w:p w14:paraId="61635ABA" w14:textId="64598070" w:rsidR="007372EA" w:rsidRDefault="007372EA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Additional:</w:t>
            </w:r>
          </w:p>
        </w:tc>
        <w:tc>
          <w:tcPr>
            <w:tcW w:w="7578" w:type="dxa"/>
          </w:tcPr>
          <w:p w14:paraId="3B9C7B12" w14:textId="457B3F51" w:rsidR="007372EA" w:rsidRDefault="007372EA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 Proposals due</w:t>
            </w:r>
            <w:r w:rsidR="001D7899">
              <w:rPr>
                <w:rFonts w:eastAsia="Times New Roman" w:cstheme="minorHAnsi"/>
              </w:rPr>
              <w:t xml:space="preserve"> </w:t>
            </w:r>
          </w:p>
        </w:tc>
      </w:tr>
    </w:tbl>
    <w:p w14:paraId="0EA7BC39" w14:textId="77777777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48B8080C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53EC95A5" w14:textId="77777777" w:rsidR="00935973" w:rsidRPr="00CB6B24" w:rsidRDefault="00935973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4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3635CAF6" w14:textId="02449DDD" w:rsidR="00935973" w:rsidRPr="00CB6B24" w:rsidRDefault="00886ABC" w:rsidP="00AB3B5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*January 31,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935973" w14:paraId="64E26333" w14:textId="77777777" w:rsidTr="00935973">
        <w:tc>
          <w:tcPr>
            <w:tcW w:w="1998" w:type="dxa"/>
          </w:tcPr>
          <w:p w14:paraId="5719958A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0B8ABF87" w14:textId="20277845" w:rsidR="00935973" w:rsidRPr="00CB6B24" w:rsidRDefault="00970C83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Financial Centers and Islamic Finance</w:t>
            </w:r>
          </w:p>
        </w:tc>
      </w:tr>
      <w:tr w:rsidR="00935973" w14:paraId="1541AB0E" w14:textId="77777777" w:rsidTr="00935973">
        <w:tc>
          <w:tcPr>
            <w:tcW w:w="1998" w:type="dxa"/>
          </w:tcPr>
          <w:p w14:paraId="5C048E77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35DA5D7F" w14:textId="3DDF65D3" w:rsidR="00935973" w:rsidRPr="00CB6B24" w:rsidRDefault="00935973" w:rsidP="00935973">
            <w:pPr>
              <w:rPr>
                <w:rFonts w:eastAsia="Times New Roman" w:cstheme="minorHAnsi"/>
              </w:rPr>
            </w:pPr>
          </w:p>
        </w:tc>
      </w:tr>
      <w:tr w:rsidR="00935973" w14:paraId="356332B0" w14:textId="77777777" w:rsidTr="00935973">
        <w:tc>
          <w:tcPr>
            <w:tcW w:w="1998" w:type="dxa"/>
          </w:tcPr>
          <w:p w14:paraId="134BEA5E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626AC70D" w14:textId="7D49B6F2" w:rsidR="00935973" w:rsidRPr="00CB6B24" w:rsidRDefault="00E252DE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</w:tbl>
    <w:p w14:paraId="399C522B" w14:textId="77777777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2E2606D7" w14:textId="77777777" w:rsidTr="006F06F7">
        <w:tc>
          <w:tcPr>
            <w:tcW w:w="1998" w:type="dxa"/>
            <w:shd w:val="clear" w:color="auto" w:fill="CCC0D9" w:themeFill="accent4" w:themeFillTint="66"/>
          </w:tcPr>
          <w:p w14:paraId="3D09195B" w14:textId="77777777" w:rsidR="00935973" w:rsidRPr="00CB6B24" w:rsidRDefault="00935973" w:rsidP="006F06F7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5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211E9AD1" w14:textId="3C9C36B1" w:rsidR="00935973" w:rsidRPr="00CB6B24" w:rsidRDefault="00FE09CF" w:rsidP="006F06F7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February 7,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935973" w14:paraId="4B811262" w14:textId="77777777" w:rsidTr="006F06F7">
        <w:tc>
          <w:tcPr>
            <w:tcW w:w="1998" w:type="dxa"/>
          </w:tcPr>
          <w:p w14:paraId="03E12174" w14:textId="77777777" w:rsidR="00935973" w:rsidRPr="00F90E98" w:rsidRDefault="00935973" w:rsidP="006F06F7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6ECD0D38" w14:textId="7C99FFF7" w:rsidR="00935973" w:rsidRPr="00CB6B24" w:rsidRDefault="00886ABC" w:rsidP="006F06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Real Estate</w:t>
            </w:r>
          </w:p>
        </w:tc>
      </w:tr>
      <w:tr w:rsidR="00935973" w14:paraId="0A4E54E8" w14:textId="77777777" w:rsidTr="006F06F7">
        <w:tc>
          <w:tcPr>
            <w:tcW w:w="1998" w:type="dxa"/>
          </w:tcPr>
          <w:p w14:paraId="31AB08F4" w14:textId="77777777" w:rsidR="00935973" w:rsidRPr="00F90E98" w:rsidRDefault="00935973" w:rsidP="006F06F7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098339D5" w14:textId="77777777" w:rsidR="00935973" w:rsidRPr="00CB6B24" w:rsidRDefault="00935973" w:rsidP="006F06F7">
            <w:pPr>
              <w:rPr>
                <w:rFonts w:eastAsia="Times New Roman" w:cstheme="minorHAnsi"/>
              </w:rPr>
            </w:pPr>
          </w:p>
        </w:tc>
      </w:tr>
      <w:tr w:rsidR="007372EA" w14:paraId="4AE559CA" w14:textId="77777777" w:rsidTr="006F06F7">
        <w:trPr>
          <w:gridAfter w:val="1"/>
          <w:wAfter w:w="7578" w:type="dxa"/>
        </w:trPr>
        <w:tc>
          <w:tcPr>
            <w:tcW w:w="1998" w:type="dxa"/>
          </w:tcPr>
          <w:p w14:paraId="7A1C086B" w14:textId="77777777" w:rsidR="007372EA" w:rsidRPr="00F90E98" w:rsidRDefault="007372EA" w:rsidP="006F06F7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</w:tr>
      <w:tr w:rsidR="00B75E4B" w14:paraId="55D72A13" w14:textId="77777777" w:rsidTr="006F06F7">
        <w:tc>
          <w:tcPr>
            <w:tcW w:w="1998" w:type="dxa"/>
          </w:tcPr>
          <w:p w14:paraId="688DF1BF" w14:textId="086C2619" w:rsidR="00B75E4B" w:rsidRDefault="00B75E4B" w:rsidP="006F06F7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Additional: </w:t>
            </w:r>
          </w:p>
        </w:tc>
        <w:tc>
          <w:tcPr>
            <w:tcW w:w="7578" w:type="dxa"/>
          </w:tcPr>
          <w:p w14:paraId="28801CA2" w14:textId="5183593A" w:rsidR="00B75E4B" w:rsidRDefault="005F0A64" w:rsidP="006F06F7">
            <w:r>
              <w:rPr>
                <w:rFonts w:eastAsia="Times New Roman" w:cstheme="minorHAnsi"/>
              </w:rPr>
              <w:t>Background Research Review due</w:t>
            </w:r>
          </w:p>
        </w:tc>
      </w:tr>
    </w:tbl>
    <w:p w14:paraId="51095E83" w14:textId="01F13B71" w:rsidR="005F0A64" w:rsidRDefault="005F0A64" w:rsidP="005F0A64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F0A64" w14:paraId="468FDAA0" w14:textId="77777777" w:rsidTr="00886ABC">
        <w:tc>
          <w:tcPr>
            <w:tcW w:w="1998" w:type="dxa"/>
            <w:shd w:val="clear" w:color="auto" w:fill="CCC0D9" w:themeFill="accent4" w:themeFillTint="66"/>
          </w:tcPr>
          <w:p w14:paraId="6F7BB19C" w14:textId="77777777" w:rsidR="005F0A64" w:rsidRPr="00CB6B24" w:rsidRDefault="005F0A64" w:rsidP="00886AB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6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7759AEB2" w14:textId="3BDF2023" w:rsidR="005F0A64" w:rsidRPr="00CB6B24" w:rsidRDefault="00FE09CF" w:rsidP="007372E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*February 21, 201</w:t>
            </w:r>
            <w:r w:rsidR="001D7899">
              <w:rPr>
                <w:rFonts w:eastAsia="Times New Roman" w:cstheme="minorHAnsi"/>
                <w:b/>
              </w:rPr>
              <w:t>7</w:t>
            </w:r>
          </w:p>
        </w:tc>
      </w:tr>
      <w:tr w:rsidR="005F0A64" w14:paraId="08B00D87" w14:textId="77777777" w:rsidTr="00886ABC">
        <w:tc>
          <w:tcPr>
            <w:tcW w:w="1998" w:type="dxa"/>
          </w:tcPr>
          <w:p w14:paraId="17C2FEA0" w14:textId="77777777" w:rsidR="005F0A64" w:rsidRPr="00CE51B0" w:rsidRDefault="005F0A64" w:rsidP="00886ABC">
            <w:pPr>
              <w:rPr>
                <w:rFonts w:eastAsia="Times New Roman" w:cstheme="minorHAnsi"/>
                <w:i/>
              </w:rPr>
            </w:pPr>
            <w:r w:rsidRPr="00CE51B0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2EAEF314" w14:textId="255CC7F1" w:rsidR="005F0A64" w:rsidRPr="00CB6B24" w:rsidRDefault="001D7899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Consumer Markets</w:t>
            </w:r>
          </w:p>
        </w:tc>
      </w:tr>
      <w:tr w:rsidR="005F0A64" w14:paraId="230641D8" w14:textId="77777777" w:rsidTr="00886ABC">
        <w:tc>
          <w:tcPr>
            <w:tcW w:w="1998" w:type="dxa"/>
          </w:tcPr>
          <w:p w14:paraId="65039D8D" w14:textId="77777777" w:rsidR="005F0A64" w:rsidRPr="00CE51B0" w:rsidRDefault="005F0A64" w:rsidP="00886ABC">
            <w:pPr>
              <w:rPr>
                <w:rFonts w:eastAsia="Times New Roman" w:cstheme="minorHAnsi"/>
                <w:i/>
              </w:rPr>
            </w:pPr>
            <w:r w:rsidRPr="00CE51B0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56C01C30" w14:textId="736F3E91" w:rsidR="005F0A64" w:rsidRPr="00CB6B24" w:rsidRDefault="001D7899" w:rsidP="00886ABC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Aamir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Rehman</w:t>
            </w:r>
            <w:proofErr w:type="spellEnd"/>
            <w:r>
              <w:rPr>
                <w:rFonts w:eastAsia="Times New Roman" w:cstheme="minorHAnsi"/>
              </w:rPr>
              <w:t xml:space="preserve"> (subject to confirmation)</w:t>
            </w:r>
          </w:p>
        </w:tc>
      </w:tr>
      <w:tr w:rsidR="005F0A64" w14:paraId="1508F494" w14:textId="77777777" w:rsidTr="00886ABC">
        <w:tc>
          <w:tcPr>
            <w:tcW w:w="1998" w:type="dxa"/>
          </w:tcPr>
          <w:p w14:paraId="4218BE3B" w14:textId="77777777" w:rsidR="005F0A64" w:rsidRPr="00CE51B0" w:rsidRDefault="005F0A64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4A46B134" w14:textId="75A319CB" w:rsidR="005F0A64" w:rsidRPr="00CB6B24" w:rsidRDefault="00A51FAE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Read: Dubai &amp; Co.</w:t>
            </w:r>
            <w:r w:rsidR="001D7899">
              <w:rPr>
                <w:rFonts w:eastAsia="Times New Roman" w:cstheme="minorHAnsi"/>
              </w:rPr>
              <w:t>; **Schedule IPG meetings for Week 7</w:t>
            </w:r>
          </w:p>
        </w:tc>
      </w:tr>
    </w:tbl>
    <w:p w14:paraId="139B9FB2" w14:textId="77777777" w:rsidR="005F0A64" w:rsidRDefault="005F0A64" w:rsidP="005F0A64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F0A64" w14:paraId="7EA3DD62" w14:textId="77777777" w:rsidTr="00886ABC">
        <w:tc>
          <w:tcPr>
            <w:tcW w:w="1998" w:type="dxa"/>
            <w:shd w:val="clear" w:color="auto" w:fill="CCC0D9" w:themeFill="accent4" w:themeFillTint="66"/>
          </w:tcPr>
          <w:p w14:paraId="544A1F8B" w14:textId="77777777" w:rsidR="005F0A64" w:rsidRPr="00CB6B24" w:rsidRDefault="005F0A64" w:rsidP="00886AB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7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3AA8F3F5" w14:textId="301D4266" w:rsidR="005F0A64" w:rsidRPr="00CB6B24" w:rsidRDefault="001D7899" w:rsidP="007372E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February 28, 2017</w:t>
            </w:r>
          </w:p>
        </w:tc>
      </w:tr>
      <w:tr w:rsidR="005F0A64" w14:paraId="4B1861E6" w14:textId="77777777" w:rsidTr="00886ABC">
        <w:tc>
          <w:tcPr>
            <w:tcW w:w="1998" w:type="dxa"/>
          </w:tcPr>
          <w:p w14:paraId="6F710191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 w:rsidRPr="00CB0B0F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5D561960" w14:textId="20C8690B" w:rsidR="005F0A64" w:rsidRPr="00CB6B24" w:rsidRDefault="001D7899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Tourism/Transportation</w:t>
            </w:r>
          </w:p>
        </w:tc>
      </w:tr>
      <w:tr w:rsidR="005F0A64" w14:paraId="4D421DC0" w14:textId="77777777" w:rsidTr="007372EA">
        <w:trPr>
          <w:trHeight w:val="305"/>
        </w:trPr>
        <w:tc>
          <w:tcPr>
            <w:tcW w:w="1998" w:type="dxa"/>
          </w:tcPr>
          <w:p w14:paraId="0A256945" w14:textId="346734DC" w:rsidR="007372EA" w:rsidRPr="00CB0B0F" w:rsidRDefault="005F0A64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lastRenderedPageBreak/>
              <w:t>Assignments:</w:t>
            </w:r>
          </w:p>
        </w:tc>
        <w:tc>
          <w:tcPr>
            <w:tcW w:w="7578" w:type="dxa"/>
          </w:tcPr>
          <w:p w14:paraId="58443F6D" w14:textId="61A97F5D" w:rsidR="005F0A64" w:rsidRPr="00CB6B24" w:rsidRDefault="006F06F7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7372EA" w14:paraId="0F97854D" w14:textId="77777777" w:rsidTr="00886ABC">
        <w:trPr>
          <w:trHeight w:val="263"/>
        </w:trPr>
        <w:tc>
          <w:tcPr>
            <w:tcW w:w="1998" w:type="dxa"/>
          </w:tcPr>
          <w:p w14:paraId="53DAFE4B" w14:textId="6A9FA73E" w:rsidR="007372EA" w:rsidRDefault="007372EA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Additional:</w:t>
            </w:r>
          </w:p>
        </w:tc>
        <w:tc>
          <w:tcPr>
            <w:tcW w:w="7578" w:type="dxa"/>
          </w:tcPr>
          <w:p w14:paraId="135A706B" w14:textId="6CB256F8" w:rsidR="007372EA" w:rsidRPr="00CB6B24" w:rsidRDefault="007372EA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In-country research plan</w:t>
            </w:r>
          </w:p>
        </w:tc>
      </w:tr>
    </w:tbl>
    <w:p w14:paraId="7C7C30D4" w14:textId="77777777" w:rsidR="005F0A64" w:rsidRDefault="005F0A64" w:rsidP="005F0A64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F0A64" w14:paraId="378F74DB" w14:textId="77777777" w:rsidTr="00886ABC">
        <w:tc>
          <w:tcPr>
            <w:tcW w:w="1998" w:type="dxa"/>
            <w:shd w:val="clear" w:color="auto" w:fill="CCC0D9" w:themeFill="accent4" w:themeFillTint="66"/>
          </w:tcPr>
          <w:p w14:paraId="436A2C4D" w14:textId="77777777" w:rsidR="005F0A64" w:rsidRPr="00CB6B24" w:rsidRDefault="005F0A64" w:rsidP="00886AB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8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5B326667" w14:textId="456E71F4" w:rsidR="005F0A64" w:rsidRPr="00CB6B24" w:rsidRDefault="001D7899" w:rsidP="007372E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March 7, 2017</w:t>
            </w:r>
          </w:p>
        </w:tc>
      </w:tr>
      <w:tr w:rsidR="005F0A64" w14:paraId="024B3FFC" w14:textId="77777777" w:rsidTr="00886ABC">
        <w:tc>
          <w:tcPr>
            <w:tcW w:w="1998" w:type="dxa"/>
          </w:tcPr>
          <w:p w14:paraId="1582BD91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 w:rsidRPr="00CB0B0F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53AF2C81" w14:textId="2FF49A78" w:rsidR="005F0A64" w:rsidRPr="00CB6B24" w:rsidRDefault="00482213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Media and Education; Open topic of interest</w:t>
            </w:r>
          </w:p>
        </w:tc>
      </w:tr>
      <w:tr w:rsidR="005F0A64" w14:paraId="16E9CDF1" w14:textId="77777777" w:rsidTr="00886ABC">
        <w:tc>
          <w:tcPr>
            <w:tcW w:w="1998" w:type="dxa"/>
          </w:tcPr>
          <w:p w14:paraId="2C41FCBF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7A89E381" w14:textId="3E880F2B" w:rsidR="005F0A64" w:rsidRPr="00CB6B24" w:rsidRDefault="006F06F7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</w:tr>
      <w:tr w:rsidR="005F0A64" w14:paraId="40A25500" w14:textId="77777777" w:rsidTr="00886ABC">
        <w:tc>
          <w:tcPr>
            <w:tcW w:w="1998" w:type="dxa"/>
          </w:tcPr>
          <w:p w14:paraId="228E569E" w14:textId="77777777" w:rsidR="005F0A64" w:rsidRDefault="005F0A64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Additional:</w:t>
            </w:r>
          </w:p>
        </w:tc>
        <w:tc>
          <w:tcPr>
            <w:tcW w:w="7578" w:type="dxa"/>
          </w:tcPr>
          <w:p w14:paraId="499DAA7D" w14:textId="3124B26E" w:rsidR="005F0A64" w:rsidRPr="00CB6B24" w:rsidRDefault="006F06F7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Final plans for trip</w:t>
            </w:r>
          </w:p>
        </w:tc>
      </w:tr>
    </w:tbl>
    <w:p w14:paraId="312E4766" w14:textId="77777777" w:rsidR="007372EA" w:rsidRDefault="007372EA" w:rsidP="007372EA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76"/>
      </w:tblGrid>
      <w:tr w:rsidR="007372EA" w14:paraId="5F8DDA62" w14:textId="77777777" w:rsidTr="00886ABC">
        <w:tc>
          <w:tcPr>
            <w:tcW w:w="9576" w:type="dxa"/>
            <w:shd w:val="clear" w:color="auto" w:fill="CCC0D9" w:themeFill="accent4" w:themeFillTint="66"/>
            <w:vAlign w:val="center"/>
          </w:tcPr>
          <w:p w14:paraId="5775DC36" w14:textId="36AD9102" w:rsidR="007372EA" w:rsidRPr="00CB6B24" w:rsidRDefault="007372EA" w:rsidP="00886AB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In-Country Field Research - March 14</w:t>
            </w:r>
            <w:r w:rsidRPr="00AA6D45">
              <w:rPr>
                <w:rFonts w:eastAsia="Times New Roman" w:cstheme="minorHAnsi"/>
                <w:b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</w:rPr>
              <w:t xml:space="preserve"> – March 22</w:t>
            </w:r>
            <w:r>
              <w:rPr>
                <w:rFonts w:eastAsia="Times New Roman" w:cstheme="minorHAnsi"/>
                <w:b/>
                <w:vertAlign w:val="superscript"/>
              </w:rPr>
              <w:t>nd</w:t>
            </w:r>
            <w:r w:rsidR="00515566">
              <w:rPr>
                <w:rFonts w:eastAsia="Times New Roman" w:cs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75DDB49F" w14:textId="77777777" w:rsidR="007372EA" w:rsidRDefault="007372EA" w:rsidP="005F0A64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F0A64" w14:paraId="771F0CE0" w14:textId="77777777" w:rsidTr="00886ABC">
        <w:tc>
          <w:tcPr>
            <w:tcW w:w="1998" w:type="dxa"/>
            <w:shd w:val="clear" w:color="auto" w:fill="CCC0D9" w:themeFill="accent4" w:themeFillTint="66"/>
          </w:tcPr>
          <w:p w14:paraId="5C34E567" w14:textId="77777777" w:rsidR="005F0A64" w:rsidRPr="00CB6B24" w:rsidRDefault="005F0A64" w:rsidP="00886AB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Week 9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745189C4" w14:textId="74140EA9" w:rsidR="005F0A64" w:rsidRPr="00CB6B24" w:rsidRDefault="005F0A64" w:rsidP="001231ED">
            <w:pPr>
              <w:rPr>
                <w:rFonts w:eastAsia="Times New Roman" w:cstheme="minorHAnsi"/>
                <w:b/>
              </w:rPr>
            </w:pPr>
            <w:r w:rsidRPr="00CB6B24">
              <w:rPr>
                <w:rFonts w:eastAsia="Times New Roman" w:cstheme="minorHAnsi"/>
                <w:b/>
              </w:rPr>
              <w:t>[</w:t>
            </w:r>
            <w:r w:rsidR="005542F0">
              <w:rPr>
                <w:rFonts w:eastAsia="Times New Roman" w:cstheme="minorHAnsi"/>
                <w:b/>
              </w:rPr>
              <w:t>Tentative</w:t>
            </w:r>
            <w:r w:rsidR="00515566">
              <w:rPr>
                <w:rFonts w:eastAsia="Times New Roman" w:cstheme="minorHAnsi"/>
                <w:b/>
              </w:rPr>
              <w:t xml:space="preserve"> date 4/5</w:t>
            </w:r>
            <w:r w:rsidR="007372EA">
              <w:rPr>
                <w:rFonts w:eastAsia="Times New Roman" w:cstheme="minorHAnsi"/>
                <w:b/>
              </w:rPr>
              <w:t>/1</w:t>
            </w:r>
            <w:r w:rsidR="001231ED">
              <w:rPr>
                <w:rFonts w:eastAsia="Times New Roman" w:cstheme="minorHAnsi"/>
                <w:b/>
              </w:rPr>
              <w:t>7</w:t>
            </w:r>
            <w:r w:rsidR="007372EA">
              <w:rPr>
                <w:rFonts w:eastAsia="Times New Roman" w:cstheme="minorHAnsi"/>
                <w:b/>
              </w:rPr>
              <w:t>]</w:t>
            </w:r>
          </w:p>
        </w:tc>
      </w:tr>
      <w:tr w:rsidR="005F0A64" w14:paraId="42A11BCD" w14:textId="77777777" w:rsidTr="00886ABC">
        <w:tc>
          <w:tcPr>
            <w:tcW w:w="1998" w:type="dxa"/>
          </w:tcPr>
          <w:p w14:paraId="7D3DE422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 w:rsidRPr="00CB0B0F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4A65E8CF" w14:textId="3AF9433F" w:rsidR="005F0A64" w:rsidRPr="00CB6B24" w:rsidRDefault="007372EA" w:rsidP="00886AB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Debrief of In-Country Experience; IPG presentations</w:t>
            </w:r>
          </w:p>
        </w:tc>
      </w:tr>
      <w:tr w:rsidR="005F0A64" w14:paraId="4059D061" w14:textId="77777777" w:rsidTr="00886ABC">
        <w:tc>
          <w:tcPr>
            <w:tcW w:w="1998" w:type="dxa"/>
          </w:tcPr>
          <w:p w14:paraId="39B44FB4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 w:rsidRPr="00CB0B0F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55628A20" w14:textId="77777777" w:rsidR="005F0A64" w:rsidRPr="00CB6B24" w:rsidRDefault="005F0A64" w:rsidP="00886ABC">
            <w:pPr>
              <w:rPr>
                <w:rFonts w:eastAsia="Times New Roman" w:cstheme="minorHAnsi"/>
              </w:rPr>
            </w:pPr>
          </w:p>
        </w:tc>
      </w:tr>
      <w:tr w:rsidR="005F0A64" w14:paraId="3F51610E" w14:textId="77777777" w:rsidTr="00886ABC">
        <w:tc>
          <w:tcPr>
            <w:tcW w:w="1998" w:type="dxa"/>
          </w:tcPr>
          <w:p w14:paraId="509C0283" w14:textId="77777777" w:rsidR="005F0A64" w:rsidRPr="00CB0B0F" w:rsidRDefault="005F0A64" w:rsidP="00886ABC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0C193D4D" w14:textId="635C8A2B" w:rsidR="005F0A64" w:rsidRPr="00CB6B24" w:rsidRDefault="007372EA" w:rsidP="00F360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Final projec</w:t>
            </w:r>
            <w:r w:rsidR="00F3602F">
              <w:rPr>
                <w:rFonts w:eastAsia="Times New Roman" w:cstheme="minorHAnsi"/>
              </w:rPr>
              <w:t xml:space="preserve">t presentations; written report, </w:t>
            </w:r>
            <w:r>
              <w:rPr>
                <w:rFonts w:eastAsia="Times New Roman" w:cstheme="minorHAnsi"/>
              </w:rPr>
              <w:t>peer evaluations</w:t>
            </w:r>
            <w:r w:rsidR="00F3602F">
              <w:rPr>
                <w:rFonts w:eastAsia="Times New Roman" w:cstheme="minorHAnsi"/>
              </w:rPr>
              <w:t>, and IPG database google sheet information</w:t>
            </w:r>
            <w:r>
              <w:rPr>
                <w:rFonts w:eastAsia="Times New Roman" w:cstheme="minorHAnsi"/>
              </w:rPr>
              <w:t xml:space="preserve"> due at 9 AM</w:t>
            </w:r>
          </w:p>
        </w:tc>
      </w:tr>
    </w:tbl>
    <w:p w14:paraId="16F9E317" w14:textId="77777777" w:rsidR="007372EA" w:rsidRDefault="007372EA" w:rsidP="002C590C">
      <w:pPr>
        <w:tabs>
          <w:tab w:val="left" w:pos="8580"/>
        </w:tabs>
        <w:jc w:val="center"/>
        <w:rPr>
          <w:b/>
          <w:sz w:val="28"/>
          <w:szCs w:val="28"/>
        </w:rPr>
      </w:pPr>
    </w:p>
    <w:p w14:paraId="0B89A12E" w14:textId="77777777" w:rsidR="007372EA" w:rsidRDefault="007372EA" w:rsidP="002C590C">
      <w:pPr>
        <w:tabs>
          <w:tab w:val="left" w:pos="8580"/>
        </w:tabs>
        <w:jc w:val="center"/>
        <w:rPr>
          <w:b/>
          <w:sz w:val="28"/>
          <w:szCs w:val="28"/>
        </w:rPr>
      </w:pPr>
    </w:p>
    <w:p w14:paraId="7CF2461D" w14:textId="77777777" w:rsidR="002C590C" w:rsidRDefault="002C590C" w:rsidP="002C590C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In-Country Academics</w:t>
      </w:r>
    </w:p>
    <w:p w14:paraId="75DC0600" w14:textId="39F9218D" w:rsidR="00935973" w:rsidRDefault="002C590C" w:rsidP="00935973">
      <w:pPr>
        <w:tabs>
          <w:tab w:val="left" w:pos="8580"/>
        </w:tabs>
      </w:pPr>
      <w:r w:rsidRPr="00CC4B02">
        <w:t>S</w:t>
      </w:r>
      <w:r>
        <w:t>tudents are reminded that GIM is</w:t>
      </w:r>
      <w:r w:rsidRPr="00CC4B02">
        <w:t xml:space="preserve"> </w:t>
      </w:r>
      <w:r>
        <w:t xml:space="preserve">first and foremost </w:t>
      </w:r>
      <w:r w:rsidRPr="00CC4B02">
        <w:t>an academic program</w:t>
      </w:r>
      <w:r>
        <w:t xml:space="preserve">.   </w:t>
      </w:r>
      <w:r w:rsidRPr="00CC4B02">
        <w:t xml:space="preserve">15% of </w:t>
      </w:r>
      <w:r>
        <w:t>your</w:t>
      </w:r>
      <w:r w:rsidRPr="00CC4B02">
        <w:t xml:space="preserve"> overall grade will be </w:t>
      </w:r>
      <w:r>
        <w:t xml:space="preserve">based on your participation in the plenary meetings and engagement in other activities as assessed by the in-country advisor.  </w:t>
      </w:r>
      <w:r w:rsidRPr="00CC4B02">
        <w:t xml:space="preserve">In order to achieve a high grade, students are expected to not only attend all plenary meetings, but to </w:t>
      </w:r>
      <w:r>
        <w:t xml:space="preserve">be actively engaged during the meetings and other learning opportunities in country.  </w:t>
      </w:r>
    </w:p>
    <w:p w14:paraId="5863DB9A" w14:textId="77777777" w:rsidR="00935973" w:rsidRDefault="00935973" w:rsidP="00935973">
      <w:pPr>
        <w:tabs>
          <w:tab w:val="left" w:pos="8580"/>
        </w:tabs>
      </w:pPr>
    </w:p>
    <w:p w14:paraId="700C335F" w14:textId="77777777" w:rsidR="00EF190E" w:rsidRDefault="00EF190E" w:rsidP="00C242B4">
      <w:pPr>
        <w:jc w:val="center"/>
        <w:rPr>
          <w:rFonts w:cstheme="minorHAnsi"/>
          <w:b/>
          <w:sz w:val="28"/>
          <w:szCs w:val="28"/>
        </w:rPr>
      </w:pPr>
    </w:p>
    <w:p w14:paraId="1F1BBD46" w14:textId="77777777" w:rsidR="00EF190E" w:rsidRDefault="00EF190E" w:rsidP="00C242B4">
      <w:pPr>
        <w:jc w:val="center"/>
        <w:rPr>
          <w:rFonts w:cstheme="minorHAnsi"/>
          <w:b/>
          <w:sz w:val="28"/>
          <w:szCs w:val="28"/>
        </w:rPr>
      </w:pPr>
    </w:p>
    <w:p w14:paraId="0638E05A" w14:textId="77777777" w:rsidR="00EF190E" w:rsidRDefault="00EF190E" w:rsidP="00C242B4">
      <w:pPr>
        <w:jc w:val="center"/>
        <w:rPr>
          <w:rFonts w:cstheme="minorHAnsi"/>
          <w:b/>
          <w:sz w:val="28"/>
          <w:szCs w:val="28"/>
        </w:rPr>
      </w:pPr>
    </w:p>
    <w:p w14:paraId="4F039FD5" w14:textId="77777777" w:rsidR="00EF190E" w:rsidRDefault="00EF190E" w:rsidP="00C242B4">
      <w:pPr>
        <w:jc w:val="center"/>
        <w:rPr>
          <w:rFonts w:cstheme="minorHAnsi"/>
          <w:b/>
          <w:sz w:val="28"/>
          <w:szCs w:val="28"/>
        </w:rPr>
      </w:pPr>
    </w:p>
    <w:p w14:paraId="4463394E" w14:textId="77777777" w:rsidR="00F3602F" w:rsidRDefault="00F3602F" w:rsidP="00C242B4">
      <w:pPr>
        <w:jc w:val="center"/>
        <w:rPr>
          <w:rFonts w:cstheme="minorHAnsi"/>
          <w:b/>
          <w:sz w:val="28"/>
          <w:szCs w:val="28"/>
        </w:rPr>
      </w:pPr>
    </w:p>
    <w:p w14:paraId="3D1F4893" w14:textId="77777777" w:rsidR="00C242B4" w:rsidRPr="006106C7" w:rsidRDefault="00C242B4" w:rsidP="00C242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Assessment</w:t>
      </w:r>
    </w:p>
    <w:tbl>
      <w:tblPr>
        <w:tblStyle w:val="TableGrid"/>
        <w:tblW w:w="0" w:type="auto"/>
        <w:tblInd w:w="512" w:type="dxa"/>
        <w:tblLook w:val="04A0" w:firstRow="1" w:lastRow="0" w:firstColumn="1" w:lastColumn="0" w:noHBand="0" w:noVBand="1"/>
      </w:tblPr>
      <w:tblGrid>
        <w:gridCol w:w="7215"/>
        <w:gridCol w:w="993"/>
      </w:tblGrid>
      <w:tr w:rsidR="006B66BA" w14:paraId="2BEA42A0" w14:textId="77777777" w:rsidTr="004C024D">
        <w:trPr>
          <w:trHeight w:val="278"/>
        </w:trPr>
        <w:tc>
          <w:tcPr>
            <w:tcW w:w="7215" w:type="dxa"/>
            <w:shd w:val="clear" w:color="auto" w:fill="CCC0D9" w:themeFill="accent4" w:themeFillTint="66"/>
          </w:tcPr>
          <w:p w14:paraId="742FFAC7" w14:textId="102481EA" w:rsidR="006B66BA" w:rsidRPr="006106C7" w:rsidRDefault="006B66BA" w:rsidP="00C43664">
            <w:pPr>
              <w:rPr>
                <w:rFonts w:cstheme="minorHAnsi"/>
                <w:b/>
              </w:rPr>
            </w:pPr>
            <w:r w:rsidRPr="006106C7">
              <w:rPr>
                <w:rFonts w:cstheme="minorHAnsi"/>
                <w:b/>
              </w:rPr>
              <w:lastRenderedPageBreak/>
              <w:t xml:space="preserve">Research </w:t>
            </w:r>
            <w:r w:rsidR="005542F0" w:rsidRPr="006106C7">
              <w:rPr>
                <w:rFonts w:cstheme="minorHAnsi"/>
                <w:b/>
              </w:rPr>
              <w:t>Project</w:t>
            </w:r>
            <w:r w:rsidR="005542F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14:paraId="6FB49A27" w14:textId="34454ACA" w:rsidR="006B66BA" w:rsidRPr="006106C7" w:rsidRDefault="006B66BA" w:rsidP="00C436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70%</w:t>
            </w:r>
          </w:p>
        </w:tc>
      </w:tr>
      <w:tr w:rsidR="006B66BA" w14:paraId="74C0BE92" w14:textId="77777777" w:rsidTr="004C024D">
        <w:trPr>
          <w:trHeight w:val="260"/>
        </w:trPr>
        <w:tc>
          <w:tcPr>
            <w:tcW w:w="7215" w:type="dxa"/>
          </w:tcPr>
          <w:p w14:paraId="2CAD8004" w14:textId="7D93B935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Research</w:t>
            </w:r>
          </w:p>
        </w:tc>
        <w:tc>
          <w:tcPr>
            <w:tcW w:w="993" w:type="dxa"/>
          </w:tcPr>
          <w:p w14:paraId="1714F000" w14:textId="77777777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6B66BA" w14:paraId="74F1B3C5" w14:textId="77777777" w:rsidTr="004C024D">
        <w:trPr>
          <w:trHeight w:val="233"/>
        </w:trPr>
        <w:tc>
          <w:tcPr>
            <w:tcW w:w="7215" w:type="dxa"/>
          </w:tcPr>
          <w:p w14:paraId="215BCB25" w14:textId="77777777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In-Country Research Plan</w:t>
            </w:r>
          </w:p>
        </w:tc>
        <w:tc>
          <w:tcPr>
            <w:tcW w:w="993" w:type="dxa"/>
          </w:tcPr>
          <w:p w14:paraId="598D17B1" w14:textId="60F38466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6B66BA" w14:paraId="0BE2D934" w14:textId="77777777" w:rsidTr="004C024D">
        <w:trPr>
          <w:trHeight w:val="270"/>
        </w:trPr>
        <w:tc>
          <w:tcPr>
            <w:tcW w:w="7215" w:type="dxa"/>
          </w:tcPr>
          <w:p w14:paraId="778A8EF0" w14:textId="77777777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In-Class Presentation </w:t>
            </w:r>
          </w:p>
        </w:tc>
        <w:tc>
          <w:tcPr>
            <w:tcW w:w="993" w:type="dxa"/>
          </w:tcPr>
          <w:p w14:paraId="199A8F7E" w14:textId="77777777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6B66BA" w14:paraId="226B5E3F" w14:textId="77777777" w:rsidTr="004C024D">
        <w:trPr>
          <w:trHeight w:val="208"/>
        </w:trPr>
        <w:tc>
          <w:tcPr>
            <w:tcW w:w="7215" w:type="dxa"/>
            <w:tcBorders>
              <w:top w:val="nil"/>
              <w:bottom w:val="single" w:sz="4" w:space="0" w:color="auto"/>
            </w:tcBorders>
          </w:tcPr>
          <w:p w14:paraId="18B34E20" w14:textId="2AF192B6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Written Report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1C8D7E0" w14:textId="5E8B7406" w:rsidR="006B66BA" w:rsidRPr="006106C7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25%</w:t>
            </w:r>
          </w:p>
        </w:tc>
      </w:tr>
      <w:tr w:rsidR="006B66BA" w14:paraId="5FAFCE4A" w14:textId="77777777" w:rsidTr="009A45F6">
        <w:trPr>
          <w:trHeight w:val="263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505A1C39" w14:textId="43A8A3BC" w:rsidR="006B66BA" w:rsidRDefault="006B66BA" w:rsidP="00C43664">
            <w:pPr>
              <w:rPr>
                <w:rFonts w:cstheme="minorHAnsi"/>
              </w:rPr>
            </w:pPr>
            <w:r w:rsidRPr="006106C7">
              <w:rPr>
                <w:rFonts w:cstheme="minorHAnsi"/>
              </w:rPr>
              <w:t>Peer Evaluation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F9A574" w14:textId="7E6195C3" w:rsidR="009A45F6" w:rsidRDefault="006B66BA" w:rsidP="009A45F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A45F6">
              <w:rPr>
                <w:rFonts w:cstheme="minorHAnsi"/>
              </w:rPr>
              <w:t>2</w:t>
            </w:r>
            <w:r>
              <w:rPr>
                <w:rFonts w:cstheme="minorHAnsi"/>
              </w:rPr>
              <w:t>%</w:t>
            </w:r>
          </w:p>
        </w:tc>
      </w:tr>
      <w:tr w:rsidR="009A45F6" w14:paraId="72F7DE43" w14:textId="77777777" w:rsidTr="004C024D">
        <w:trPr>
          <w:trHeight w:val="291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4336C24A" w14:textId="0A721DE3" w:rsidR="009A45F6" w:rsidRPr="006106C7" w:rsidRDefault="000B69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IPG Database </w:t>
            </w:r>
            <w:r w:rsidR="009A45F6">
              <w:rPr>
                <w:rFonts w:cstheme="minorHAnsi"/>
              </w:rPr>
              <w:t>Google Sheet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C87331" w14:textId="43136A9A" w:rsidR="009A45F6" w:rsidRDefault="009A45F6" w:rsidP="009A45F6">
            <w:pPr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</w:tc>
      </w:tr>
      <w:tr w:rsidR="006B66BA" w14:paraId="3F25A441" w14:textId="77777777" w:rsidTr="004C024D">
        <w:trPr>
          <w:trHeight w:val="22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06011F" w14:textId="182450D5" w:rsidR="006B66BA" w:rsidRPr="006106C7" w:rsidRDefault="006B66BA" w:rsidP="00C43664">
            <w:pPr>
              <w:rPr>
                <w:rFonts w:cstheme="minorHAnsi"/>
              </w:rPr>
            </w:pPr>
            <w:r w:rsidRPr="00D23DA4">
              <w:rPr>
                <w:rFonts w:cstheme="minorHAnsi"/>
                <w:b/>
              </w:rPr>
              <w:t>Participation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65D5F6" w14:textId="01D71A82" w:rsidR="006B66BA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30</w:t>
            </w:r>
            <w:r w:rsidRPr="00D23DA4">
              <w:rPr>
                <w:rFonts w:cstheme="minorHAnsi"/>
                <w:b/>
              </w:rPr>
              <w:t>%</w:t>
            </w:r>
          </w:p>
        </w:tc>
      </w:tr>
      <w:tr w:rsidR="006B66BA" w14:paraId="235CE7ED" w14:textId="77777777" w:rsidTr="004C024D">
        <w:trPr>
          <w:trHeight w:val="249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2D13F370" w14:textId="252D26F1" w:rsidR="006B66BA" w:rsidRPr="00D23DA4" w:rsidRDefault="006B66BA" w:rsidP="00C43664">
            <w:pPr>
              <w:rPr>
                <w:rFonts w:cstheme="minorHAnsi"/>
                <w:b/>
              </w:rPr>
            </w:pPr>
            <w:r w:rsidRPr="00D23DA4">
              <w:rPr>
                <w:rFonts w:cstheme="minorHAnsi"/>
              </w:rPr>
              <w:t>In-Class Participation (attendance, discussion, engagement)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6EDF42" w14:textId="130B7522" w:rsidR="006B66BA" w:rsidRDefault="006B66BA" w:rsidP="00C4366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15%</w:t>
            </w:r>
          </w:p>
        </w:tc>
      </w:tr>
      <w:tr w:rsidR="006B66BA" w14:paraId="7F5F6C87" w14:textId="77777777" w:rsidTr="004C024D">
        <w:trPr>
          <w:trHeight w:val="568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</w:tcBorders>
          </w:tcPr>
          <w:p w14:paraId="176AD6A3" w14:textId="2D08D4AF" w:rsidR="006B66BA" w:rsidRPr="000B69BA" w:rsidRDefault="006B66BA" w:rsidP="00C43664">
            <w:pPr>
              <w:rPr>
                <w:rFonts w:cstheme="minorHAnsi"/>
              </w:rPr>
            </w:pPr>
            <w:r w:rsidRPr="000B69BA">
              <w:rPr>
                <w:rFonts w:cstheme="minorHAnsi"/>
              </w:rPr>
              <w:t>In-Country</w:t>
            </w:r>
            <w:r w:rsidR="000B69BA">
              <w:rPr>
                <w:rFonts w:cstheme="minorHAnsi"/>
              </w:rPr>
              <w:t xml:space="preserve"> Participation (plenary meeting participation, student role, overall participation</w:t>
            </w:r>
            <w:r w:rsidRPr="000B69BA">
              <w:rPr>
                <w:rFonts w:cstheme="minorHAnsi"/>
              </w:rPr>
              <w:t>; determined by GIM advisor)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B8DC37" w14:textId="41311550" w:rsidR="006B66BA" w:rsidRDefault="006B66BA" w:rsidP="00C43664">
            <w:pPr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</w:tbl>
    <w:p w14:paraId="05C08952" w14:textId="77777777" w:rsidR="004C024D" w:rsidRDefault="004C024D" w:rsidP="00C242B4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1018E9D1" w14:textId="77777777" w:rsidR="00C242B4" w:rsidRPr="006106C7" w:rsidRDefault="00C242B4" w:rsidP="00C242B4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GIM Research Project</w:t>
      </w:r>
    </w:p>
    <w:p w14:paraId="26CEB318" w14:textId="77777777" w:rsidR="00C242B4" w:rsidRPr="006106C7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2B97416" w14:textId="5D4E6A01" w:rsidR="00C242B4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6106C7">
        <w:rPr>
          <w:rFonts w:eastAsia="Times New Roman" w:cstheme="minorHAnsi"/>
        </w:rPr>
        <w:t xml:space="preserve">The core of the GIM class is </w:t>
      </w:r>
      <w:r>
        <w:rPr>
          <w:rFonts w:eastAsia="Times New Roman" w:cstheme="minorHAnsi"/>
        </w:rPr>
        <w:t>an independent</w:t>
      </w:r>
      <w:r w:rsidRPr="006106C7">
        <w:rPr>
          <w:rFonts w:eastAsia="Times New Roman" w:cstheme="minorHAnsi"/>
        </w:rPr>
        <w:t xml:space="preserve"> research </w:t>
      </w:r>
      <w:r>
        <w:rPr>
          <w:rFonts w:eastAsia="Times New Roman" w:cstheme="minorHAnsi"/>
        </w:rPr>
        <w:t>project</w:t>
      </w:r>
      <w:r w:rsidRPr="006106C7">
        <w:rPr>
          <w:rFonts w:eastAsia="Times New Roman" w:cstheme="minorHAnsi"/>
        </w:rPr>
        <w:t xml:space="preserve">. Groups of </w:t>
      </w:r>
      <w:r w:rsidR="00481FE0">
        <w:rPr>
          <w:rFonts w:eastAsia="Times New Roman" w:cstheme="minorHAnsi"/>
        </w:rPr>
        <w:t>4 to</w:t>
      </w:r>
      <w:r>
        <w:rPr>
          <w:rFonts w:eastAsia="Times New Roman" w:cstheme="minorHAnsi"/>
        </w:rPr>
        <w:t xml:space="preserve"> 6</w:t>
      </w:r>
      <w:r w:rsidRPr="006106C7">
        <w:rPr>
          <w:rFonts w:eastAsia="Times New Roman" w:cstheme="minorHAnsi"/>
        </w:rPr>
        <w:t xml:space="preserve"> students will select an international business, economic or management issue</w:t>
      </w:r>
      <w:r w:rsidR="004C024D">
        <w:rPr>
          <w:rFonts w:eastAsia="Times New Roman" w:cstheme="minorHAnsi"/>
        </w:rPr>
        <w:t xml:space="preserve"> on which</w:t>
      </w:r>
      <w:r w:rsidRPr="006106C7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>study</w:t>
      </w:r>
      <w:r w:rsidRPr="006106C7">
        <w:rPr>
          <w:rFonts w:eastAsia="Times New Roman" w:cstheme="minorHAnsi"/>
        </w:rPr>
        <w:t xml:space="preserve"> in depth</w:t>
      </w:r>
      <w:r w:rsidR="004C024D">
        <w:rPr>
          <w:rFonts w:eastAsia="Times New Roman" w:cstheme="minorHAnsi"/>
        </w:rPr>
        <w:t xml:space="preserve"> and present</w:t>
      </w:r>
      <w:r w:rsidRPr="006106C7">
        <w:rPr>
          <w:rFonts w:eastAsia="Times New Roman" w:cstheme="minorHAnsi"/>
        </w:rPr>
        <w:t xml:space="preserve">. The students begin secondary research </w:t>
      </w:r>
      <w:r w:rsidR="004C024D">
        <w:rPr>
          <w:rFonts w:eastAsia="Times New Roman" w:cstheme="minorHAnsi"/>
        </w:rPr>
        <w:t>at the start of the course</w:t>
      </w:r>
      <w:r w:rsidRPr="006106C7">
        <w:rPr>
          <w:rFonts w:eastAsia="Times New Roman" w:cstheme="minorHAnsi"/>
        </w:rPr>
        <w:t>, incorporating perspectives from t</w:t>
      </w:r>
      <w:r w:rsidR="004C024D">
        <w:rPr>
          <w:rFonts w:eastAsia="Times New Roman" w:cstheme="minorHAnsi"/>
        </w:rPr>
        <w:t xml:space="preserve">he class readings and speakers.  They will also </w:t>
      </w:r>
      <w:r w:rsidRPr="006106C7">
        <w:rPr>
          <w:rFonts w:eastAsia="Times New Roman" w:cstheme="minorHAnsi"/>
        </w:rPr>
        <w:t>spend considerable time in-country speaking with resident experts, gathering local data, and testing their hypotheses and recommendations in the field.</w:t>
      </w:r>
      <w:r w:rsidR="004C024D">
        <w:rPr>
          <w:rFonts w:eastAsia="Times New Roman" w:cstheme="minorHAnsi"/>
        </w:rPr>
        <w:t xml:space="preserve">  In general, the project should be based on original research that contributes to an intellectual body of work but also strives to have practical applications for the market.  </w:t>
      </w:r>
      <w:r>
        <w:rPr>
          <w:rFonts w:eastAsia="Times New Roman" w:cstheme="minorHAnsi"/>
        </w:rPr>
        <w:t xml:space="preserve">  </w:t>
      </w:r>
    </w:p>
    <w:p w14:paraId="7FA75E0F" w14:textId="77777777" w:rsidR="00C242B4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1EDE7498" w14:textId="0D04F6D7" w:rsidR="00C242B4" w:rsidRDefault="00E92067" w:rsidP="00360A38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(Students must schedule at </w:t>
      </w:r>
      <w:r w:rsidRPr="009A45F6">
        <w:rPr>
          <w:rFonts w:eastAsia="Times New Roman" w:cstheme="minorHAnsi"/>
          <w:i/>
        </w:rPr>
        <w:t xml:space="preserve">least </w:t>
      </w:r>
      <w:r w:rsidR="00B266B0" w:rsidRPr="004262A6">
        <w:rPr>
          <w:rFonts w:eastAsia="Times New Roman" w:cstheme="minorHAnsi"/>
          <w:b/>
          <w:i/>
        </w:rPr>
        <w:t>five</w:t>
      </w:r>
      <w:r w:rsidR="00B266B0" w:rsidRPr="009A45F6">
        <w:rPr>
          <w:rFonts w:eastAsia="Times New Roman" w:cstheme="minorHAnsi"/>
          <w:i/>
        </w:rPr>
        <w:t xml:space="preserve"> </w:t>
      </w:r>
      <w:r w:rsidRPr="009A45F6">
        <w:rPr>
          <w:rFonts w:eastAsia="Times New Roman" w:cstheme="minorHAnsi"/>
          <w:i/>
        </w:rPr>
        <w:t>IPG meetings throughout</w:t>
      </w:r>
      <w:r>
        <w:rPr>
          <w:rFonts w:eastAsia="Times New Roman" w:cstheme="minorHAnsi"/>
          <w:i/>
        </w:rPr>
        <w:t xml:space="preserve"> their trip</w:t>
      </w:r>
      <w:r w:rsidR="009308A7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 xml:space="preserve">with </w:t>
      </w:r>
      <w:r w:rsidRPr="00F5176C">
        <w:rPr>
          <w:rFonts w:eastAsia="Times New Roman" w:cstheme="minorHAnsi"/>
          <w:b/>
          <w:i/>
        </w:rPr>
        <w:t>at least</w:t>
      </w:r>
      <w:r>
        <w:rPr>
          <w:rFonts w:eastAsia="Times New Roman" w:cstheme="minorHAnsi"/>
          <w:i/>
        </w:rPr>
        <w:t xml:space="preserve"> one meeting in every city</w:t>
      </w:r>
      <w:r w:rsidR="00360A38">
        <w:rPr>
          <w:rFonts w:eastAsia="Times New Roman" w:cstheme="minorHAnsi"/>
          <w:i/>
        </w:rPr>
        <w:t xml:space="preserve"> </w:t>
      </w:r>
      <w:r w:rsidR="00EE5FE6">
        <w:rPr>
          <w:rFonts w:eastAsia="Times New Roman" w:cstheme="minorHAnsi"/>
          <w:i/>
        </w:rPr>
        <w:t>that class visits on a business day.</w:t>
      </w:r>
      <w:r w:rsidR="00360A38">
        <w:rPr>
          <w:rFonts w:eastAsia="Times New Roman" w:cstheme="minorHAnsi"/>
          <w:i/>
        </w:rPr>
        <w:t xml:space="preserve">  Students are not obligated to schedule meetings in cities that the class visits only for the weekend.) </w:t>
      </w:r>
    </w:p>
    <w:p w14:paraId="3F7BC998" w14:textId="77777777" w:rsidR="00360A38" w:rsidRPr="006106C7" w:rsidRDefault="00360A38" w:rsidP="00360A3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049BC"/>
        </w:rPr>
      </w:pPr>
    </w:p>
    <w:p w14:paraId="572BAB82" w14:textId="77777777" w:rsidR="00C242B4" w:rsidRPr="006106C7" w:rsidRDefault="00C242B4" w:rsidP="00C242B4">
      <w:pPr>
        <w:widowControl w:val="0"/>
        <w:autoSpaceDE w:val="0"/>
        <w:autoSpaceDN w:val="0"/>
        <w:adjustRightInd w:val="0"/>
        <w:spacing w:after="80"/>
        <w:rPr>
          <w:rFonts w:eastAsia="Times New Roman" w:cstheme="minorHAnsi"/>
          <w:b/>
          <w:bCs/>
          <w:i/>
          <w:iCs/>
          <w:color w:val="7030A0"/>
        </w:rPr>
      </w:pPr>
      <w:r w:rsidRPr="006106C7">
        <w:rPr>
          <w:rFonts w:eastAsia="Times New Roman" w:cstheme="minorHAnsi"/>
          <w:b/>
          <w:bCs/>
          <w:i/>
          <w:iCs/>
          <w:color w:val="7030A0"/>
        </w:rPr>
        <w:t>Research Topics</w:t>
      </w:r>
    </w:p>
    <w:p w14:paraId="415F6E39" w14:textId="3575C2B2" w:rsidR="00C242B4" w:rsidRPr="00360A38" w:rsidRDefault="00C242B4" w:rsidP="00360A38">
      <w:pPr>
        <w:rPr>
          <w:rFonts w:eastAsia="Arial" w:cs="Arial"/>
        </w:rPr>
      </w:pPr>
      <w:r w:rsidRPr="00360A38">
        <w:t xml:space="preserve">Student teams </w:t>
      </w:r>
      <w:r w:rsidR="004C203B" w:rsidRPr="00360A38">
        <w:t>typically develop their own research project</w:t>
      </w:r>
      <w:r w:rsidR="00F5176C" w:rsidRPr="00360A38">
        <w:t>s</w:t>
      </w:r>
      <w:r w:rsidR="004C203B" w:rsidRPr="00360A38">
        <w:t xml:space="preserve">, though </w:t>
      </w:r>
      <w:r w:rsidR="009646C2" w:rsidRPr="00360A38">
        <w:t>they</w:t>
      </w:r>
      <w:r w:rsidR="00E92067" w:rsidRPr="00360A38">
        <w:t xml:space="preserve"> will</w:t>
      </w:r>
      <w:r w:rsidR="009646C2" w:rsidRPr="00360A38">
        <w:t xml:space="preserve"> refine their topics with the help and advice of their faculty member</w:t>
      </w:r>
      <w:r w:rsidRPr="00360A38">
        <w:t xml:space="preserve">. Good GIM projects are generally built around interesting, clear, and relatively narrow research </w:t>
      </w:r>
      <w:r w:rsidR="00E92067" w:rsidRPr="00360A38">
        <w:t>topics</w:t>
      </w:r>
      <w:r w:rsidR="004262A6" w:rsidRPr="00360A38">
        <w:t>.  Some titles from successful projects from recent years have included</w:t>
      </w:r>
      <w:r w:rsidR="00E92067" w:rsidRPr="00360A38">
        <w:t xml:space="preserve"> </w:t>
      </w:r>
      <w:r w:rsidR="004262A6" w:rsidRPr="00360A38">
        <w:t>“</w:t>
      </w:r>
      <w:r w:rsidR="004262A6" w:rsidRPr="00360A38">
        <w:rPr>
          <w:rFonts w:cs="Times New Roman"/>
          <w:color w:val="000000" w:themeColor="text1"/>
        </w:rPr>
        <w:t xml:space="preserve">How </w:t>
      </w:r>
      <w:proofErr w:type="spellStart"/>
      <w:r w:rsidR="004262A6" w:rsidRPr="00360A38">
        <w:rPr>
          <w:rFonts w:cs="Times New Roman"/>
          <w:color w:val="000000" w:themeColor="text1"/>
        </w:rPr>
        <w:t>Uniqlo’s</w:t>
      </w:r>
      <w:proofErr w:type="spellEnd"/>
      <w:r w:rsidR="004262A6" w:rsidRPr="00360A38">
        <w:rPr>
          <w:rFonts w:cs="Times New Roman"/>
          <w:color w:val="000000" w:themeColor="text1"/>
        </w:rPr>
        <w:t xml:space="preserve"> Brand Positioning and Marketing Strategy Allow the Company to Thrive in China’s Fast Fashion Market” and </w:t>
      </w:r>
      <w:r w:rsidR="00360A38" w:rsidRPr="00360A38">
        <w:rPr>
          <w:rFonts w:cs="Times New Roman"/>
        </w:rPr>
        <w:t>Expanding Wine Sales to Middle-Class Brazilians:</w:t>
      </w:r>
      <w:r w:rsidR="00360A38">
        <w:t xml:space="preserve"> </w:t>
      </w:r>
      <w:r w:rsidR="00360A38" w:rsidRPr="00360A38">
        <w:rPr>
          <w:rFonts w:cs="Times New Roman"/>
        </w:rPr>
        <w:t>A Proposal to Concha Y Toro</w:t>
      </w:r>
      <w:r w:rsidR="00360A38">
        <w:rPr>
          <w:rFonts w:cs="Times New Roman"/>
        </w:rPr>
        <w:t xml:space="preserve">.”  </w:t>
      </w:r>
      <w:r w:rsidR="004262A6" w:rsidRPr="00360A38">
        <w:rPr>
          <w:bCs/>
        </w:rPr>
        <w:t xml:space="preserve">Weak </w:t>
      </w:r>
      <w:r w:rsidRPr="00360A38">
        <w:t xml:space="preserve">GIM projects </w:t>
      </w:r>
      <w:r w:rsidR="00E92067" w:rsidRPr="00360A38">
        <w:t xml:space="preserve">often have excessively broad or </w:t>
      </w:r>
      <w:r w:rsidR="00F5176C" w:rsidRPr="00360A38">
        <w:t xml:space="preserve">unfocused topics such as </w:t>
      </w:r>
      <w:r w:rsidRPr="00360A38">
        <w:t>“An Overview of t</w:t>
      </w:r>
      <w:r w:rsidR="00F5176C" w:rsidRPr="00360A38">
        <w:t>he Brazilian Beverage Industry.</w:t>
      </w:r>
      <w:r w:rsidRPr="00360A38">
        <w:t>”</w:t>
      </w:r>
      <w:r w:rsidRPr="004262A6">
        <w:t xml:space="preserve"> </w:t>
      </w:r>
    </w:p>
    <w:p w14:paraId="76B1F7BF" w14:textId="77777777" w:rsidR="00C242B4" w:rsidRPr="004262A6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1049BC"/>
        </w:rPr>
      </w:pPr>
    </w:p>
    <w:p w14:paraId="247A581E" w14:textId="30B55F45" w:rsidR="00C242B4" w:rsidRPr="004262A6" w:rsidRDefault="009646C2" w:rsidP="00C242B4">
      <w:pPr>
        <w:widowControl w:val="0"/>
        <w:autoSpaceDE w:val="0"/>
        <w:autoSpaceDN w:val="0"/>
        <w:adjustRightInd w:val="0"/>
        <w:spacing w:after="80"/>
        <w:rPr>
          <w:rFonts w:eastAsia="Times New Roman" w:cstheme="minorHAnsi"/>
          <w:b/>
          <w:bCs/>
          <w:i/>
          <w:iCs/>
          <w:color w:val="7030A0"/>
        </w:rPr>
      </w:pPr>
      <w:r w:rsidRPr="004262A6">
        <w:rPr>
          <w:rFonts w:eastAsia="Times New Roman" w:cstheme="minorHAnsi"/>
          <w:b/>
          <w:bCs/>
          <w:i/>
          <w:iCs/>
          <w:color w:val="7030A0"/>
        </w:rPr>
        <w:t>Project</w:t>
      </w:r>
      <w:r w:rsidR="00C242B4" w:rsidRPr="004262A6">
        <w:rPr>
          <w:rFonts w:eastAsia="Times New Roman" w:cstheme="minorHAnsi"/>
          <w:b/>
          <w:bCs/>
          <w:i/>
          <w:iCs/>
          <w:color w:val="7030A0"/>
        </w:rPr>
        <w:t xml:space="preserve"> Report Structure</w:t>
      </w:r>
    </w:p>
    <w:p w14:paraId="049348F3" w14:textId="6394EFC9" w:rsidR="00C242B4" w:rsidRPr="006106C7" w:rsidRDefault="009308A7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 reports should be at least fifteen pages in length, excluding exhibits.  Groups </w:t>
      </w:r>
      <w:r w:rsidR="00C242B4" w:rsidRPr="006106C7">
        <w:rPr>
          <w:rFonts w:eastAsia="Times New Roman" w:cstheme="minorHAnsi"/>
        </w:rPr>
        <w:t>may choose from the following report formats:</w:t>
      </w:r>
    </w:p>
    <w:p w14:paraId="216241C9" w14:textId="77777777" w:rsidR="00C242B4" w:rsidRPr="006106C7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18275A3" w14:textId="77777777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3B3321">
        <w:rPr>
          <w:rFonts w:eastAsia="Times New Roman" w:cstheme="minorHAnsi"/>
          <w:sz w:val="24"/>
          <w:szCs w:val="24"/>
        </w:rPr>
        <w:t>Traditional analytical research paper – A research question is described; competing answers to the question are discussed; evidence collected on the trip is used to argue for or against the alternative answers.</w:t>
      </w:r>
    </w:p>
    <w:p w14:paraId="14E7E235" w14:textId="77777777" w:rsidR="00C242B4" w:rsidRPr="003B3321" w:rsidRDefault="00C242B4" w:rsidP="00C242B4">
      <w:pPr>
        <w:pStyle w:val="ListParagraph"/>
        <w:widowControl w:val="0"/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</w:p>
    <w:p w14:paraId="1EDDC5A0" w14:textId="77777777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3B3321">
        <w:rPr>
          <w:rFonts w:eastAsia="Times New Roman" w:cstheme="minorHAnsi"/>
          <w:sz w:val="24"/>
          <w:szCs w:val="24"/>
        </w:rPr>
        <w:t>Industry analysis – A particular industry is surveyed in order to examine a narrowly focused, well-defined topic pertaining to the competitive dynamics of the industry. An example would be an analysis of a market entry opportunity presented to a foreign multinational.</w:t>
      </w:r>
    </w:p>
    <w:p w14:paraId="3CF351B5" w14:textId="77777777" w:rsidR="00C242B4" w:rsidRPr="003B3321" w:rsidRDefault="00C242B4" w:rsidP="00C242B4">
      <w:pPr>
        <w:pStyle w:val="ListParagraph"/>
        <w:rPr>
          <w:rFonts w:eastAsia="Times New Roman" w:cstheme="minorHAnsi"/>
          <w:sz w:val="24"/>
          <w:szCs w:val="24"/>
        </w:rPr>
      </w:pPr>
    </w:p>
    <w:p w14:paraId="5D926AA3" w14:textId="41A7646E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3B3321">
        <w:rPr>
          <w:rFonts w:eastAsia="Times New Roman" w:cstheme="minorHAnsi"/>
          <w:sz w:val="24"/>
          <w:szCs w:val="24"/>
        </w:rPr>
        <w:t>Business recommendation report – A consulting report recommending specific strategic, operational and organizational actions to solving a clearly defined business issue (e.g.:  strategies for overcoming cold-chain logistics and distribution challenges in India.)</w:t>
      </w:r>
      <w:r w:rsidR="009646C2">
        <w:rPr>
          <w:rFonts w:eastAsia="Times New Roman" w:cstheme="minorHAnsi"/>
          <w:sz w:val="24"/>
          <w:szCs w:val="24"/>
        </w:rPr>
        <w:t>.</w:t>
      </w:r>
    </w:p>
    <w:p w14:paraId="5511DFE8" w14:textId="77777777" w:rsidR="00C242B4" w:rsidRPr="003B3321" w:rsidRDefault="00C242B4" w:rsidP="00C242B4">
      <w:pPr>
        <w:pStyle w:val="ListParagraph"/>
        <w:rPr>
          <w:rFonts w:eastAsia="Times New Roman" w:cstheme="minorHAnsi"/>
          <w:sz w:val="24"/>
          <w:szCs w:val="24"/>
        </w:rPr>
      </w:pPr>
    </w:p>
    <w:p w14:paraId="310EA6B8" w14:textId="13B617F4" w:rsidR="00C242B4" w:rsidRPr="009646C2" w:rsidRDefault="00C242B4" w:rsidP="009646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3B3321">
        <w:rPr>
          <w:rFonts w:eastAsia="Times New Roman" w:cstheme="minorHAnsi"/>
          <w:sz w:val="24"/>
          <w:szCs w:val="24"/>
        </w:rPr>
        <w:t>Business or industry case study – A case for eventual classroom use developed with a clear underlying business question in mind. Teams pursuing this option are encouraged to work with Case Publishing before and after the trip to ensure a high quality product that may eventually be used in the classroom.</w:t>
      </w:r>
    </w:p>
    <w:p w14:paraId="1A1EACC0" w14:textId="77777777" w:rsidR="00C242B4" w:rsidRPr="00FE28B6" w:rsidRDefault="00C242B4" w:rsidP="00C242B4">
      <w:pPr>
        <w:widowControl w:val="0"/>
        <w:autoSpaceDE w:val="0"/>
        <w:autoSpaceDN w:val="0"/>
        <w:adjustRightInd w:val="0"/>
        <w:spacing w:after="80"/>
        <w:rPr>
          <w:rFonts w:eastAsia="Times New Roman" w:cstheme="minorHAnsi"/>
          <w:b/>
          <w:bCs/>
          <w:i/>
          <w:iCs/>
          <w:color w:val="7030A0"/>
        </w:rPr>
      </w:pPr>
      <w:r w:rsidRPr="003C36F3">
        <w:rPr>
          <w:rFonts w:eastAsia="Times New Roman" w:cstheme="minorHAnsi"/>
          <w:b/>
          <w:bCs/>
          <w:i/>
          <w:iCs/>
          <w:color w:val="7030A0"/>
        </w:rPr>
        <w:t>Project Deliverables</w:t>
      </w:r>
    </w:p>
    <w:p w14:paraId="25D5F54D" w14:textId="77777777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b/>
          <w:bCs/>
          <w:sz w:val="24"/>
          <w:szCs w:val="24"/>
        </w:rPr>
        <w:t>Research Project Proposal</w:t>
      </w:r>
      <w:r w:rsidRPr="007C65D7">
        <w:rPr>
          <w:rFonts w:eastAsia="Times New Roman" w:cstheme="minorHAnsi"/>
          <w:sz w:val="24"/>
          <w:szCs w:val="24"/>
        </w:rPr>
        <w:t xml:space="preserve"> – Each project group will submit a 2-page description of their</w:t>
      </w:r>
      <w:r>
        <w:rPr>
          <w:rFonts w:eastAsia="Times New Roman" w:cstheme="minorHAnsi"/>
          <w:sz w:val="24"/>
          <w:szCs w:val="24"/>
        </w:rPr>
        <w:t xml:space="preserve"> </w:t>
      </w:r>
      <w:r w:rsidRPr="007C65D7">
        <w:rPr>
          <w:rFonts w:eastAsia="Times New Roman" w:cstheme="minorHAnsi"/>
          <w:sz w:val="24"/>
          <w:szCs w:val="24"/>
        </w:rPr>
        <w:t>proposed research topic, including:</w:t>
      </w:r>
    </w:p>
    <w:p w14:paraId="1C30639E" w14:textId="77777777" w:rsidR="00C242B4" w:rsidRPr="003C36F3" w:rsidRDefault="00C242B4" w:rsidP="00C242B4">
      <w:pPr>
        <w:pStyle w:val="ListParagraph"/>
        <w:rPr>
          <w:rFonts w:eastAsia="Times New Roman" w:cstheme="minorHAnsi"/>
          <w:sz w:val="24"/>
          <w:szCs w:val="24"/>
        </w:rPr>
      </w:pPr>
    </w:p>
    <w:p w14:paraId="076A534F" w14:textId="77777777" w:rsidR="00C242B4" w:rsidRDefault="00C242B4" w:rsidP="00C242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sz w:val="24"/>
          <w:szCs w:val="24"/>
        </w:rPr>
        <w:t>A description of the specific and narrowly-focused research question(s) to be addressed</w:t>
      </w:r>
    </w:p>
    <w:p w14:paraId="150AA5F0" w14:textId="77777777" w:rsidR="00C242B4" w:rsidRDefault="00C242B4" w:rsidP="00C242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sz w:val="24"/>
          <w:szCs w:val="24"/>
        </w:rPr>
        <w:t>Description of the topic’s importance, timeliness, economic, or social significance</w:t>
      </w:r>
    </w:p>
    <w:p w14:paraId="3458D69C" w14:textId="6F2D2FDA" w:rsidR="00C242B4" w:rsidRPr="009646C2" w:rsidRDefault="00C242B4" w:rsidP="009646C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sz w:val="24"/>
          <w:szCs w:val="24"/>
        </w:rPr>
        <w:t>Identification of possible in-country visits with companies, governmental agencies, NGOs, etc.</w:t>
      </w:r>
    </w:p>
    <w:p w14:paraId="4F2DDB10" w14:textId="77777777" w:rsidR="00C242B4" w:rsidRPr="007C65D7" w:rsidRDefault="00C242B4" w:rsidP="00C242B4">
      <w:pPr>
        <w:pStyle w:val="ListParagraph"/>
        <w:widowControl w:val="0"/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</w:p>
    <w:p w14:paraId="2D39DE17" w14:textId="480044B6" w:rsidR="00C242B4" w:rsidRDefault="00033DC8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Background Research</w:t>
      </w:r>
      <w:r w:rsidR="009646C2">
        <w:rPr>
          <w:rFonts w:eastAsia="Times New Roman" w:cstheme="minorHAnsi"/>
          <w:b/>
          <w:bCs/>
          <w:sz w:val="24"/>
          <w:szCs w:val="24"/>
        </w:rPr>
        <w:t xml:space="preserve"> Review</w:t>
      </w:r>
      <w:r w:rsidR="00C242B4" w:rsidRPr="007C65D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242B4" w:rsidRPr="007C65D7">
        <w:rPr>
          <w:rFonts w:eastAsia="Times New Roman" w:cstheme="minorHAnsi"/>
          <w:sz w:val="24"/>
          <w:szCs w:val="24"/>
        </w:rPr>
        <w:t>– Before departing for the in-country portion of the class, e</w:t>
      </w:r>
      <w:r w:rsidR="009646C2">
        <w:rPr>
          <w:rFonts w:eastAsia="Times New Roman" w:cstheme="minorHAnsi"/>
          <w:sz w:val="24"/>
          <w:szCs w:val="24"/>
        </w:rPr>
        <w:t xml:space="preserve">ach project team must submit a </w:t>
      </w:r>
      <w:r w:rsidR="00C242B4" w:rsidRPr="007C65D7">
        <w:rPr>
          <w:rFonts w:eastAsia="Times New Roman" w:cstheme="minorHAnsi"/>
          <w:sz w:val="24"/>
          <w:szCs w:val="24"/>
        </w:rPr>
        <w:t>review examining secondary information relevant to its research topic. This review may serve as a first draft of the background section of the final project report.</w:t>
      </w:r>
    </w:p>
    <w:p w14:paraId="2009D3B3" w14:textId="77777777" w:rsidR="00C242B4" w:rsidRPr="007C65D7" w:rsidRDefault="00C242B4" w:rsidP="00C242B4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340B4E79" w14:textId="693FAAA0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b/>
          <w:bCs/>
          <w:sz w:val="24"/>
          <w:szCs w:val="24"/>
        </w:rPr>
        <w:t xml:space="preserve">In-Country Plan </w:t>
      </w:r>
      <w:r w:rsidRPr="007C65D7">
        <w:rPr>
          <w:rFonts w:eastAsia="Times New Roman" w:cstheme="minorHAnsi"/>
          <w:sz w:val="24"/>
          <w:szCs w:val="24"/>
        </w:rPr>
        <w:t>– This is a detailed matrix of five or more investigative research meetings arranged in country. The best plans will include day/time/location of meeting; name/description of organization; name/title/bio of interviewee; agenda and interview guide for each meeting.</w:t>
      </w:r>
    </w:p>
    <w:p w14:paraId="30CE46A2" w14:textId="77777777" w:rsidR="00C242B4" w:rsidRPr="007C65D7" w:rsidRDefault="00C242B4" w:rsidP="00C242B4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7478840C" w14:textId="0E88EF25" w:rsidR="00C242B4" w:rsidRPr="00710AF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b/>
          <w:bCs/>
          <w:sz w:val="24"/>
          <w:szCs w:val="24"/>
        </w:rPr>
        <w:t xml:space="preserve">In-Class Presentation </w:t>
      </w:r>
      <w:r w:rsidRPr="007C65D7">
        <w:rPr>
          <w:rFonts w:eastAsia="Times New Roman" w:cstheme="minorHAnsi"/>
          <w:sz w:val="24"/>
          <w:szCs w:val="24"/>
        </w:rPr>
        <w:t xml:space="preserve">– </w:t>
      </w:r>
      <w:r w:rsidR="009646C2">
        <w:rPr>
          <w:rFonts w:eastAsia="Times New Roman" w:cstheme="minorHAnsi"/>
          <w:sz w:val="24"/>
          <w:szCs w:val="24"/>
        </w:rPr>
        <w:t xml:space="preserve">During the final class, each project group </w:t>
      </w:r>
      <w:r w:rsidRPr="007C65D7">
        <w:rPr>
          <w:rFonts w:eastAsia="Times New Roman" w:cstheme="minorHAnsi"/>
          <w:sz w:val="24"/>
          <w:szCs w:val="24"/>
        </w:rPr>
        <w:t xml:space="preserve">will make a presentation in class summarizing their research findings. The purpose of this </w:t>
      </w:r>
      <w:r w:rsidRPr="007C65D7">
        <w:rPr>
          <w:rFonts w:eastAsia="Times New Roman" w:cstheme="minorHAnsi"/>
          <w:sz w:val="24"/>
          <w:szCs w:val="24"/>
        </w:rPr>
        <w:lastRenderedPageBreak/>
        <w:t xml:space="preserve">deliverable is to allow faculty members and students to </w:t>
      </w:r>
      <w:r w:rsidR="009646C2">
        <w:rPr>
          <w:rFonts w:eastAsia="Times New Roman" w:cstheme="minorHAnsi"/>
          <w:sz w:val="24"/>
          <w:szCs w:val="24"/>
        </w:rPr>
        <w:t>learn about and provide feedback on the project groups’ final findings</w:t>
      </w:r>
      <w:r w:rsidRPr="007C65D7">
        <w:rPr>
          <w:rFonts w:eastAsia="Times New Roman" w:cstheme="minorHAnsi"/>
          <w:sz w:val="24"/>
          <w:szCs w:val="24"/>
        </w:rPr>
        <w:t>. It is sugg</w:t>
      </w:r>
      <w:r w:rsidR="009646C2">
        <w:rPr>
          <w:rFonts w:eastAsia="Times New Roman" w:cstheme="minorHAnsi"/>
          <w:sz w:val="24"/>
          <w:szCs w:val="24"/>
        </w:rPr>
        <w:t>ested that each team be given 15</w:t>
      </w:r>
      <w:r w:rsidRPr="007C65D7">
        <w:rPr>
          <w:rFonts w:eastAsia="Times New Roman" w:cstheme="minorHAnsi"/>
          <w:sz w:val="24"/>
          <w:szCs w:val="24"/>
        </w:rPr>
        <w:t xml:space="preserve"> minutes to present and 5 minutes for audie</w:t>
      </w:r>
      <w:r>
        <w:rPr>
          <w:rFonts w:eastAsia="Times New Roman" w:cstheme="minorHAnsi"/>
          <w:sz w:val="24"/>
          <w:szCs w:val="24"/>
        </w:rPr>
        <w:t xml:space="preserve">nce questions and suggestions. </w:t>
      </w:r>
      <w:r w:rsidRPr="00710AF4">
        <w:rPr>
          <w:rFonts w:eastAsia="Times New Roman" w:cstheme="minorHAnsi"/>
          <w:sz w:val="24"/>
          <w:szCs w:val="24"/>
        </w:rPr>
        <w:t xml:space="preserve"> </w:t>
      </w:r>
    </w:p>
    <w:p w14:paraId="4E6EC056" w14:textId="77777777" w:rsidR="00C242B4" w:rsidRPr="003C36F3" w:rsidRDefault="00C242B4" w:rsidP="00C242B4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09D58660" w14:textId="3B8D2338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Written R</w:t>
      </w:r>
      <w:r w:rsidRPr="003C36F3">
        <w:rPr>
          <w:rFonts w:eastAsia="Times New Roman" w:cstheme="minorHAnsi"/>
          <w:b/>
          <w:bCs/>
          <w:sz w:val="24"/>
          <w:szCs w:val="24"/>
        </w:rPr>
        <w:t xml:space="preserve">eport </w:t>
      </w:r>
      <w:r w:rsidRPr="003C36F3">
        <w:rPr>
          <w:rFonts w:eastAsia="Times New Roman" w:cstheme="minorHAnsi"/>
          <w:sz w:val="24"/>
          <w:szCs w:val="24"/>
        </w:rPr>
        <w:t xml:space="preserve">– The final report, generally </w:t>
      </w:r>
      <w:r w:rsidR="0051679E">
        <w:rPr>
          <w:rFonts w:eastAsia="Times New Roman" w:cstheme="minorHAnsi"/>
          <w:sz w:val="24"/>
          <w:szCs w:val="24"/>
        </w:rPr>
        <w:t>20-25</w:t>
      </w:r>
      <w:r w:rsidRPr="003C36F3">
        <w:rPr>
          <w:rFonts w:eastAsia="Times New Roman" w:cstheme="minorHAnsi"/>
          <w:sz w:val="24"/>
          <w:szCs w:val="24"/>
        </w:rPr>
        <w:t xml:space="preserve"> pages long before exhibits and appendices</w:t>
      </w:r>
      <w:r w:rsidR="009A45F6">
        <w:rPr>
          <w:rFonts w:eastAsia="Times New Roman" w:cstheme="minorHAnsi"/>
          <w:sz w:val="24"/>
          <w:szCs w:val="24"/>
        </w:rPr>
        <w:t>,</w:t>
      </w:r>
      <w:r w:rsidRPr="003C36F3">
        <w:rPr>
          <w:rFonts w:eastAsia="Times New Roman" w:cstheme="minorHAnsi"/>
          <w:sz w:val="24"/>
          <w:szCs w:val="24"/>
        </w:rPr>
        <w:t xml:space="preserve"> prepared according to one </w:t>
      </w:r>
      <w:r>
        <w:rPr>
          <w:rFonts w:eastAsia="Times New Roman" w:cstheme="minorHAnsi"/>
          <w:sz w:val="24"/>
          <w:szCs w:val="24"/>
        </w:rPr>
        <w:t xml:space="preserve">of the formats discussed above.  </w:t>
      </w:r>
      <w:r w:rsidRPr="003C36F3">
        <w:rPr>
          <w:rFonts w:eastAsia="Times New Roman" w:cstheme="minorHAnsi"/>
          <w:sz w:val="24"/>
          <w:szCs w:val="24"/>
        </w:rPr>
        <w:t xml:space="preserve">In addition to turning in their papers to their professors, students should submit an electronic copy to the </w:t>
      </w:r>
      <w:r w:rsidR="009646C2">
        <w:rPr>
          <w:rFonts w:eastAsia="Times New Roman" w:cstheme="minorHAnsi"/>
          <w:sz w:val="24"/>
          <w:szCs w:val="24"/>
        </w:rPr>
        <w:t>Global Programs</w:t>
      </w:r>
      <w:r w:rsidRPr="003C36F3">
        <w:rPr>
          <w:rFonts w:eastAsia="Times New Roman" w:cstheme="minorHAnsi"/>
          <w:sz w:val="24"/>
          <w:szCs w:val="24"/>
        </w:rPr>
        <w:t xml:space="preserve"> Office on the agreed upon date.</w:t>
      </w:r>
    </w:p>
    <w:p w14:paraId="5F90D043" w14:textId="77777777" w:rsidR="00C242B4" w:rsidRPr="00BE185B" w:rsidRDefault="00C242B4" w:rsidP="00C242B4">
      <w:pPr>
        <w:pStyle w:val="ListParagraph"/>
        <w:rPr>
          <w:rFonts w:eastAsia="Times New Roman" w:cstheme="minorHAnsi"/>
          <w:sz w:val="24"/>
          <w:szCs w:val="24"/>
        </w:rPr>
      </w:pPr>
    </w:p>
    <w:p w14:paraId="51928DCE" w14:textId="2A8A51B5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4F2A5F">
        <w:rPr>
          <w:rFonts w:eastAsia="Times New Roman" w:cstheme="minorHAnsi"/>
          <w:b/>
          <w:bCs/>
          <w:sz w:val="24"/>
          <w:szCs w:val="24"/>
        </w:rPr>
        <w:t xml:space="preserve">Peer Evaluation </w:t>
      </w:r>
      <w:r w:rsidR="009646C2">
        <w:rPr>
          <w:rFonts w:eastAsia="Times New Roman" w:cstheme="minorHAnsi"/>
          <w:sz w:val="24"/>
          <w:szCs w:val="24"/>
        </w:rPr>
        <w:t>– Each member within the project group</w:t>
      </w:r>
      <w:r w:rsidRPr="004F2A5F">
        <w:rPr>
          <w:rFonts w:eastAsia="Times New Roman" w:cstheme="minorHAnsi"/>
          <w:sz w:val="24"/>
          <w:szCs w:val="24"/>
        </w:rPr>
        <w:t xml:space="preserve"> will assess</w:t>
      </w:r>
      <w:r>
        <w:rPr>
          <w:rFonts w:eastAsia="Times New Roman" w:cstheme="minorHAnsi"/>
          <w:sz w:val="24"/>
          <w:szCs w:val="24"/>
        </w:rPr>
        <w:t xml:space="preserve"> every other member’s </w:t>
      </w:r>
      <w:r w:rsidRPr="004F2A5F">
        <w:rPr>
          <w:rFonts w:eastAsia="Times New Roman" w:cstheme="minorHAnsi"/>
          <w:sz w:val="24"/>
          <w:szCs w:val="24"/>
        </w:rPr>
        <w:t>contributions to the project</w:t>
      </w:r>
      <w:r>
        <w:rPr>
          <w:rFonts w:eastAsia="Times New Roman" w:cstheme="minorHAnsi"/>
          <w:sz w:val="24"/>
          <w:szCs w:val="24"/>
        </w:rPr>
        <w:t>, including their own,</w:t>
      </w:r>
      <w:r w:rsidRPr="004F2A5F">
        <w:rPr>
          <w:rFonts w:eastAsia="Times New Roman" w:cstheme="minorHAnsi"/>
          <w:sz w:val="24"/>
          <w:szCs w:val="24"/>
        </w:rPr>
        <w:t xml:space="preserve"> with a confidential peer review form that takes into account </w:t>
      </w:r>
      <w:r>
        <w:rPr>
          <w:rFonts w:eastAsia="Times New Roman" w:cstheme="minorHAnsi"/>
          <w:sz w:val="24"/>
          <w:szCs w:val="24"/>
        </w:rPr>
        <w:t xml:space="preserve">each member’s </w:t>
      </w:r>
      <w:r w:rsidRPr="004F2A5F">
        <w:rPr>
          <w:rFonts w:eastAsia="Times New Roman" w:cstheme="minorHAnsi"/>
          <w:sz w:val="24"/>
          <w:szCs w:val="24"/>
        </w:rPr>
        <w:t xml:space="preserve">intellectual contribution, initiative and organization, workload contribution and overall contribution.  </w:t>
      </w:r>
    </w:p>
    <w:p w14:paraId="31DCBF22" w14:textId="77777777" w:rsidR="001231ED" w:rsidRPr="001231ED" w:rsidRDefault="001231ED" w:rsidP="001231ED">
      <w:pPr>
        <w:pStyle w:val="ListParagraph"/>
        <w:rPr>
          <w:rFonts w:eastAsia="Times New Roman" w:cstheme="minorHAnsi"/>
          <w:sz w:val="24"/>
          <w:szCs w:val="24"/>
        </w:rPr>
      </w:pPr>
    </w:p>
    <w:p w14:paraId="39B3D0B9" w14:textId="115804FC" w:rsidR="00C242B4" w:rsidRPr="00AB4707" w:rsidRDefault="001231ED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b/>
          <w:sz w:val="28"/>
          <w:szCs w:val="28"/>
        </w:rPr>
      </w:pPr>
      <w:r w:rsidRPr="00AB4707">
        <w:rPr>
          <w:rFonts w:cstheme="minorHAnsi"/>
          <w:b/>
          <w:sz w:val="24"/>
          <w:szCs w:val="24"/>
        </w:rPr>
        <w:t xml:space="preserve">IPG Database Google Sheet </w:t>
      </w:r>
      <w:r w:rsidRPr="00AB4707">
        <w:rPr>
          <w:rFonts w:eastAsia="Times New Roman" w:cstheme="minorHAnsi"/>
          <w:sz w:val="24"/>
          <w:szCs w:val="24"/>
        </w:rPr>
        <w:t xml:space="preserve">– </w:t>
      </w:r>
      <w:r w:rsidR="004327CC" w:rsidRPr="00AB4707">
        <w:rPr>
          <w:rFonts w:eastAsia="Times New Roman" w:cstheme="minorHAnsi"/>
          <w:sz w:val="24"/>
          <w:szCs w:val="24"/>
        </w:rPr>
        <w:t>Maintained by the Global Programs’ Office,</w:t>
      </w:r>
      <w:r w:rsidR="00EE5FE6" w:rsidRPr="00AB4707">
        <w:rPr>
          <w:rFonts w:eastAsia="Times New Roman" w:cstheme="minorHAnsi"/>
          <w:sz w:val="24"/>
          <w:szCs w:val="24"/>
        </w:rPr>
        <w:t xml:space="preserve"> the IPG Database Google Sheet </w:t>
      </w:r>
      <w:r w:rsidR="00897D5F" w:rsidRPr="00AB4707">
        <w:rPr>
          <w:rFonts w:eastAsia="Times New Roman" w:cstheme="minorHAnsi"/>
          <w:sz w:val="24"/>
          <w:szCs w:val="24"/>
        </w:rPr>
        <w:t>serves as a repository for</w:t>
      </w:r>
      <w:r w:rsidR="00EE5FE6" w:rsidRPr="00AB4707">
        <w:rPr>
          <w:rFonts w:eastAsia="Times New Roman" w:cstheme="minorHAnsi"/>
          <w:sz w:val="24"/>
          <w:szCs w:val="24"/>
        </w:rPr>
        <w:t xml:space="preserve"> IPG </w:t>
      </w:r>
      <w:r w:rsidR="00897D5F" w:rsidRPr="00AB4707">
        <w:rPr>
          <w:rFonts w:eastAsia="Times New Roman" w:cstheme="minorHAnsi"/>
          <w:sz w:val="24"/>
          <w:szCs w:val="24"/>
        </w:rPr>
        <w:t>contact information shared amongst GIM students</w:t>
      </w:r>
      <w:r w:rsidR="00EE5FE6" w:rsidRPr="00AB4707">
        <w:rPr>
          <w:rFonts w:eastAsia="Times New Roman" w:cstheme="minorHAnsi"/>
          <w:sz w:val="24"/>
          <w:szCs w:val="24"/>
        </w:rPr>
        <w:t xml:space="preserve">.  </w:t>
      </w:r>
      <w:r w:rsidR="00AB4707" w:rsidRPr="00AB4707">
        <w:rPr>
          <w:rFonts w:eastAsia="Times New Roman" w:cstheme="minorHAnsi"/>
          <w:sz w:val="24"/>
          <w:szCs w:val="24"/>
        </w:rPr>
        <w:t>About a week before</w:t>
      </w:r>
      <w:r w:rsidR="004327CC" w:rsidRPr="00AB4707">
        <w:rPr>
          <w:rFonts w:eastAsia="Times New Roman" w:cstheme="minorHAnsi"/>
          <w:sz w:val="24"/>
          <w:szCs w:val="24"/>
        </w:rPr>
        <w:t xml:space="preserve"> final reports are due, t</w:t>
      </w:r>
      <w:r w:rsidRPr="00AB4707">
        <w:rPr>
          <w:rFonts w:eastAsia="Times New Roman" w:cstheme="minorHAnsi"/>
          <w:sz w:val="24"/>
          <w:szCs w:val="24"/>
        </w:rPr>
        <w:t xml:space="preserve">he GPO will be sending out a link to the sheet for each IPG group to fill out with information about their contacts.  </w:t>
      </w:r>
      <w:r w:rsidR="00AB4707" w:rsidRPr="00AB4707">
        <w:rPr>
          <w:rFonts w:eastAsia="Times New Roman" w:cstheme="minorHAnsi"/>
          <w:sz w:val="24"/>
          <w:szCs w:val="24"/>
        </w:rPr>
        <w:t xml:space="preserve">Please note that the requirement for filling out the google sheet is due at the same time as the written report.  </w:t>
      </w:r>
    </w:p>
    <w:p w14:paraId="09EC7944" w14:textId="77777777" w:rsidR="00935973" w:rsidRDefault="00935973" w:rsidP="00935973">
      <w:pPr>
        <w:tabs>
          <w:tab w:val="left" w:pos="8580"/>
        </w:tabs>
      </w:pPr>
    </w:p>
    <w:p w14:paraId="4FF4E2C5" w14:textId="77777777" w:rsidR="00935973" w:rsidRDefault="00935973" w:rsidP="00935973">
      <w:pPr>
        <w:jc w:val="center"/>
        <w:rPr>
          <w:sz w:val="28"/>
          <w:szCs w:val="28"/>
        </w:rPr>
      </w:pPr>
    </w:p>
    <w:p w14:paraId="18773EA7" w14:textId="77777777" w:rsidR="00C653F4" w:rsidRDefault="00C653F4"/>
    <w:sectPr w:rsidR="00C653F4" w:rsidSect="00B75E4B">
      <w:headerReference w:type="default" r:id="rId9"/>
      <w:pgSz w:w="12240" w:h="15840"/>
      <w:pgMar w:top="288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A82D" w14:textId="77777777" w:rsidR="0003284B" w:rsidRDefault="0003284B">
      <w:pPr>
        <w:spacing w:after="0"/>
      </w:pPr>
      <w:r>
        <w:separator/>
      </w:r>
    </w:p>
  </w:endnote>
  <w:endnote w:type="continuationSeparator" w:id="0">
    <w:p w14:paraId="66E0B545" w14:textId="77777777" w:rsidR="0003284B" w:rsidRDefault="00032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59EA7" w14:textId="77777777" w:rsidR="0003284B" w:rsidRDefault="0003284B">
      <w:pPr>
        <w:spacing w:after="0"/>
      </w:pPr>
      <w:r>
        <w:separator/>
      </w:r>
    </w:p>
  </w:footnote>
  <w:footnote w:type="continuationSeparator" w:id="0">
    <w:p w14:paraId="56E7AA66" w14:textId="77777777" w:rsidR="0003284B" w:rsidRDefault="00032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DF2A" w14:textId="2A3A6BED" w:rsidR="005423F7" w:rsidRDefault="005423F7" w:rsidP="00C653F4">
    <w:pPr>
      <w:pStyle w:val="Header"/>
      <w:tabs>
        <w:tab w:val="clear" w:pos="8640"/>
        <w:tab w:val="left" w:pos="8280"/>
      </w:tabs>
    </w:pPr>
    <w:r>
      <w:rPr>
        <w:noProof/>
      </w:rPr>
      <w:drawing>
        <wp:inline distT="0" distB="0" distL="0" distR="0" wp14:anchorId="3C5CB468" wp14:editId="3A8727F8">
          <wp:extent cx="1820008" cy="1002323"/>
          <wp:effectExtent l="0" t="0" r="8890" b="7620"/>
          <wp:docPr id="2" name="Picture 2" descr="C:\Users\ced222\AppData\Local\Microsoft\Windows\Temporary Internet Files\Content.Word\Kellogg_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222\AppData\Local\Microsoft\Windows\Temporary Internet Files\Content.Word\Kellogg_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3" cy="100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63E9B" wp14:editId="667C9E0B">
              <wp:simplePos x="0" y="0"/>
              <wp:positionH relativeFrom="column">
                <wp:posOffset>2315845</wp:posOffset>
              </wp:positionH>
              <wp:positionV relativeFrom="paragraph">
                <wp:posOffset>524510</wp:posOffset>
              </wp:positionV>
              <wp:extent cx="3814445" cy="0"/>
              <wp:effectExtent l="0" t="0" r="20955" b="2540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4445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41.3pt" to="482.7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sXNQCAAD7BQAADgAAAGRycy9lMm9Eb2MueG1srFTLbtswELwX6D8QuiuSbPklRA4S2e4lbYM6&#10;Rc+0SElEKZIgactGkX/vkrKVOr0URS4CudwdzQ5neXt3bDk6UG2YFHmQ3MQBoqKUhIk6D74/b8J5&#10;gIzFgmAuBc2DEzXB3fLjh9tOZXQkG8kJ1QhAhMk6lQeNtSqLIlM2tMXmRioq4LCSusUWtrqOiMYd&#10;oLc8GsXxNOqkJkrLkhoD0VV/GCw9flXR0n6tKkMt4nkA3Kz/av/duW+0vMVZrbFqWHmmgf+DRYuZ&#10;gJ8OUCtsMdpr9hdUy0otjazsTSnbSFYVK6nvAbpJ4jfdbBusqO8FxDFqkMm8H2z55fCkESN5MAmQ&#10;wC1c0dZqzOrGokIKAQJKjcZOp06ZDNIL8aRdp+VRbNWjLH8aJGTRYFFTz/f5pAAkcRXRVYnbGAV/&#10;23WfJYEcvLfSi3asdOsgQQ509HdzGu6GHi0qITieJ2maAsnychbh7FKotLGfqGyRW+QBZ8LJhjN8&#10;eDTWEcHZJcWFhdwwzv3Vc4G6PBhN0hjcUWJwYMWxhWWrQBMjao9jJGfE1bhq701acI0OGFy1qxOf&#10;w/cttNXH5pMY8Pof7FtwYB/2IeAyIHhmV+CO5gqbpi/wRz2OlntBPGJDMVmf1xYz3q8BlgtHj3rX&#10;933D7mhh6eMgpHfkr0W8WM/X8zRMR9N1mMaEhPebIg2nm2Q2WY1XRbFKXlxPSZo1jBAqXOuX6UjS&#10;f3PfeU57Xw/zMUgfXaN7JYDsNdP7zSSepeN5OJtNxmE6pnH4MN8U4X2RTKez9UPxsH7DdO27N+9D&#10;dpDSsZJ7S/W2IR3a8b3+hsEeYBpnG8Kc6eA16jfwujg7+Z2W9gezjR8MZ2kHZHS9G9zj8/o45qrB&#10;/b2PZ4vFwk/QkO4FGjj0cl1u2u2Guzor8CooOOPiAj+Qbgb7ad5JcnrSbj7cbMIL44vOr6F7wv7c&#10;+6zXN3v5GwAA//8DAFBLAwQUAAYACAAAACEAtlEoTuAAAAAJAQAADwAAAGRycy9kb3ducmV2Lnht&#10;bEyPUUvDMBDH3wW/QzjBF3Gp68xmbTrGQPBBBk5h7C1rzraYXEqSrvXbG/FBH+/ux/9+/3I9WcPO&#10;6EPnSMLdLAOGVDvdUSPh/e3pdgUsREVaGUco4QsDrKvLi1IV2o30iud9bFgKoVAoCW2MfcF5qFu0&#10;Ksxcj5RuH85bFdPoG669GlO4NXyeZYJb1VH60Koety3Wn/vBShinzS4XJvijwqN53h2Gl3x7I+X1&#10;1bR5BBZxin8w/OgndaiS08kNpAMzEnKxWCZUwmougCXgQdwvgJ1+F7wq+f8G1TcAAAD//wMAUEsB&#10;Ai0AFAAGAAgAAAAhAOSZw8D7AAAA4QEAABMAAAAAAAAAAAAAAAAAAAAAAFtDb250ZW50X1R5cGVz&#10;XS54bWxQSwECLQAUAAYACAAAACEAI7Jq4dcAAACUAQAACwAAAAAAAAAAAAAAAAAsAQAAX3JlbHMv&#10;LnJlbHNQSwECLQAUAAYACAAAACEAd1ksXNQCAAD7BQAADgAAAAAAAAAAAAAAAAAsAgAAZHJzL2Uy&#10;b0RvYy54bWxQSwECLQAUAAYACAAAACEAtlEoTuAAAAAJAQAADwAAAAAAAAAAAAAAAAAsBQAAZHJz&#10;L2Rvd25yZXYueG1sUEsFBgAAAAAEAAQA8wAAADkGAAAAAA==&#10;" strokecolor="#d8d8d8 [2732]" strokeweight="2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7EEC0" wp14:editId="721F2506">
              <wp:simplePos x="0" y="0"/>
              <wp:positionH relativeFrom="column">
                <wp:posOffset>2244090</wp:posOffset>
              </wp:positionH>
              <wp:positionV relativeFrom="paragraph">
                <wp:posOffset>514350</wp:posOffset>
              </wp:positionV>
              <wp:extent cx="4604385" cy="332105"/>
              <wp:effectExtent l="0" t="635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E9AC87" w14:textId="70D03B88" w:rsidR="005423F7" w:rsidRPr="00DE2916" w:rsidRDefault="005423F7" w:rsidP="00901291">
                          <w:pPr>
                            <w:tabs>
                              <w:tab w:val="right" w:pos="5940"/>
                            </w:tabs>
                            <w:spacing w:after="0"/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GIM Middle East Syllabus</w:t>
                          </w: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76.7pt;margin-top:40.5pt;width:362.5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7S8MCAAD1BQAADgAAAGRycy9lMm9Eb2MueG1srFTbbtswDH0fsH8Q9O76Eie1jTpFm8TDgO4C&#10;tPsAxZJjYbbkSUqcrNi/j5KT1G0xoNjmB0MX6pCHPOTV9b5t0I4pzaXIcXgRYMREKSkXmxx/eyi8&#10;BCNtiKCkkYLl+MA0vp6/f3fVdxmLZC0byhQCEKGzvstxbUyX+b4ua9YSfSE7JuCykqolBrZq41NF&#10;ekBvGz8KgpnfS0U7JUumNZwuh0s8d/hVxUrzpao0M6jJMcRm3F+5/9r+/fkVyTaKdDUvj2GQv4ii&#10;JVyA0zPUkhiCtoq/gmp5qaSWlbkoZevLquIlcxyATRi8YHNfk445LpAc3Z3TpP8fbPl591UhTnM8&#10;w0iQFkr0wPYG3co9imx2+k5nYHTfgZnZwzFU2THV3Z0sv2sk5KImYsNulJJ9zQiF6EL70h89HXC0&#10;BVn3nyQFN2RrpAPaV6q1qYNkIECHKh3OlbGhlHAYz4J4kkwxKuFuMonCYOpckOz0ulPafGCyRXaR&#10;YwWVd+hkd6eNjYZkJxPrTMiCN42rfiOeHYDhcAK+4am9s1G4Yj6mQbpKVknsxdFs5cUBpd5NsYi9&#10;WRFeTpeT5WKxDH9Zv2Gc1ZxSJqybk7DC+G2FO0p8kMRZWlo2nFo4G5JWm/WiUWhHQNiF+44JGZn5&#10;z8NwSQAuLyiFURzcRqlXzJJLL67iqZdeBokXhOltCmlP42XxnNIdF+zfKaE+x+k0mg5i+iO3wH2v&#10;uZGs5QZGR8PbHCdnI5JZCa4ERebQgcoETB1sXbWMYtQwGFJ25QpvCG/eYjlKo6X+lEaQykkkTuxW&#10;34PSzX69Bx+2A9aSHkD2SoIqQdswK2FRS/UTwoK5k2P9Y0sUBNl8FNA6aRjHdlCNN2q8WY83RJQA&#10;lWOD0bBcmGG4bTvFNzV4GppVyBtot4q7TniK6tikMFscqeMctMNrvHdWT9N6/hsAAP//AwBQSwME&#10;FAAGAAgAAAAhAMktTbneAAAACwEAAA8AAABkcnMvZG93bnJldi54bWxMj8tOwzAQRfdI/IM1SOyo&#10;U0xIlMapUBEfQKnE1ondJKo9jmLnQb+e6Qp2M5qjO+eW+9VZNpsx9B4lbDcJMION1z22Ek5fH085&#10;sBAVamU9Ggk/JsC+ur8rVaH9gp9mPsaWUQiGQknoYhwKzkPTGafCxg8G6Xb2o1OR1rHlelQLhTvL&#10;n5PklTvVI33o1GAOnWkux8lJaK7Te37o63m5Zt9ZvXY2PaOV8vFhfdsBi2aNfzDc9EkdKnKq/YQ6&#10;MCtBpOKFUAn5ljrdgCTLU2A1TUII4FXJ/3eofgEAAP//AwBQSwECLQAUAAYACAAAACEA5JnDwPsA&#10;AADhAQAAEwAAAAAAAAAAAAAAAAAAAAAAW0NvbnRlbnRfVHlwZXNdLnhtbFBLAQItABQABgAIAAAA&#10;IQAjsmrh1wAAAJQBAAALAAAAAAAAAAAAAAAAACwBAABfcmVscy8ucmVsc1BLAQItABQABgAIAAAA&#10;IQCLtPtLwwIAAPUFAAAOAAAAAAAAAAAAAAAAACwCAABkcnMvZTJvRG9jLnhtbFBLAQItABQABgAI&#10;AAAAIQDJLU253gAAAAsBAAAPAAAAAAAAAAAAAAAAABsFAABkcnMvZG93bnJldi54bWxQSwUGAAAA&#10;AAQABADzAAAAJgYAAAAA&#10;" filled="f" stroked="f">
              <v:textbox inset=",7.2pt,,7.2pt">
                <w:txbxContent>
                  <w:p w14:paraId="1DE9AC87" w14:textId="70D03B88" w:rsidR="004C203B" w:rsidRPr="00DE2916" w:rsidRDefault="00E51939" w:rsidP="00901291">
                    <w:pPr>
                      <w:tabs>
                        <w:tab w:val="right" w:pos="5940"/>
                      </w:tabs>
                      <w:spacing w:after="0"/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595959" w:themeColor="text1" w:themeTint="A6"/>
                        <w:sz w:val="20"/>
                        <w:szCs w:val="20"/>
                      </w:rPr>
                      <w:t>GIM Middle East S</w:t>
                    </w:r>
                    <w:r w:rsidR="004C203B">
                      <w:rPr>
                        <w:rFonts w:ascii="Arial" w:hAnsi="Arial"/>
                        <w:b/>
                        <w:color w:val="595959" w:themeColor="text1" w:themeTint="A6"/>
                        <w:sz w:val="20"/>
                        <w:szCs w:val="20"/>
                      </w:rPr>
                      <w:t>yllabus</w:t>
                    </w:r>
                    <w:r w:rsidR="004C203B"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C38E3" wp14:editId="4F884A33">
              <wp:simplePos x="0" y="0"/>
              <wp:positionH relativeFrom="column">
                <wp:posOffset>2235200</wp:posOffset>
              </wp:positionH>
              <wp:positionV relativeFrom="paragraph">
                <wp:posOffset>184150</wp:posOffset>
              </wp:positionV>
              <wp:extent cx="4152900" cy="3321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F43B1F4" w14:textId="275620DE" w:rsidR="005423F7" w:rsidRPr="00DE2916" w:rsidRDefault="005423F7">
                          <w:pP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  <w:t>Global Programs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176pt;margin-top:14.5pt;width:327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zPxQIAAPwFAAAOAAAAZHJzL2Uyb0RvYy54bWysVNtu2zAMfR+wfxD07vpSJY2NOkMbx8OA&#10;7gK0+wDFlmNhtuRJSuxs2L+PkpPUbTGg2OYHQxfqkIc85PW7oW3QninNpUhxeBFgxEQhSy62Kf76&#10;kHsLjLShoqSNFCzFB6bxu+XbN9d9l7BI1rIpmUIAInTSdymujekS39dFzVqqL2THBFxWUrXUwFZt&#10;/VLRHtDbxo+CYO73UpWdkgXTGk6z8RIvHX5VscJ8rirNDGpSDLEZ91fuv7F/f3lNk62iXc2LYxj0&#10;L6JoKRfg9AyVUUPRTvEXUC0vlNSyMheFbH1ZVbxgjgOwCYNnbO5r2jHHBZKju3Oa9P+DLT7tvyjE&#10;yxQTjARtoUQPbDDoVg4otNnpO52A0X0HZmaAY6iyY6q7O1l800jIVU3Flt0oJfua0RKicy/9ydMR&#10;R1uQTf9RluCG7ox0QEOlWps6SAYCdKjS4VwZG0oBhyScRXEAVwXcXV5GYTCzwfk0Ob3ulDbvmWyR&#10;XaRYQeUdOt3faTOankysMyFz3jSu+o14cgCY4wn4hqf2zkbhivkzDuL1Yr0gHonma48EWebd5Cvi&#10;zfPwapZdZqtVFv6yfkOS1LwsmbBuTsIKyesKd5T4KImztLRseGnhbEhabTerRqE9BWHn7jsmZGLm&#10;Pw3D5Qu4PKMURiS4jWIvny+uPJKTmRdfBQsvCOPbeB6QmGT5U0p3XLB/p4T6FMezaDaK6Y/cAve9&#10;5EaTlhsYHQ1vU7w4G9HESnAtSmQOHahMwNTB1lXLSowaBkPKrlzhDeXNaywnabTUH9MIUjmJxInd&#10;6ntUuhk2g+uqcw9tZHkA9SsJ4gQdw8iERS3VD4gOxk+K9fcdVRBr80FAB8UhIXZeTTdqutlMN1QU&#10;AJVig9G4XJlxxu06xbc1eBp7Vsgb6LqKu4aw7TlGBYzsBkaM43Ych3aGTffO6nFoL38DAAD//wMA&#10;UEsDBBQABgAIAAAAIQCXAT4D3QAAAAoBAAAPAAAAZHJzL2Rvd25yZXYueG1sTI/NTsMwEITvSLyD&#10;tZW4UaepSkOIU6EiHoCCxNWJt0lUex3Fzg99erYnOO2udjTzTXFYnBUTDqHzpGCzTkAg1d501Cj4&#10;+nx/zECEqMlo6wkV/GCAQ3l/V+jc+Jk+cDrFRrAJhVwraGPscylD3aLTYe17JP6d/eB05HNopBn0&#10;zObOyjRJnqTTHXFCq3s8tlhfTqNTUF/Ht+zYVdN83X/vq6W1uzNZpR5Wy+sLiIhL/BPDDZ/RoWSm&#10;yo9kgrAKtruUu0QF6TPPm4DjeKsUZJstyLKQ/yuUvwAAAP//AwBQSwECLQAUAAYACAAAACEAtoM4&#10;kv4AAADhAQAAEwAAAAAAAAAAAAAAAAAAAAAAW0NvbnRlbnRfVHlwZXNdLnhtbFBLAQItABQABgAI&#10;AAAAIQA4/SH/1gAAAJQBAAALAAAAAAAAAAAAAAAAAC8BAABfcmVscy8ucmVsc1BLAQItABQABgAI&#10;AAAAIQC7oAzPxQIAAPwFAAAOAAAAAAAAAAAAAAAAAC4CAABkcnMvZTJvRG9jLnhtbFBLAQItABQA&#10;BgAIAAAAIQCXAT4D3QAAAAoBAAAPAAAAAAAAAAAAAAAAAB8FAABkcnMvZG93bnJldi54bWxQSwUG&#10;AAAAAAQABADzAAAAKQYAAAAA&#10;" filled="f" stroked="f">
              <v:textbox inset=",7.2pt,,7.2pt">
                <w:txbxContent>
                  <w:p w14:paraId="2F43B1F4" w14:textId="275620DE" w:rsidR="004C203B" w:rsidRPr="00DE2916" w:rsidRDefault="004C203B">
                    <w:pP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  <w:t>Global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DA1"/>
    <w:multiLevelType w:val="hybridMultilevel"/>
    <w:tmpl w:val="32AC65CE"/>
    <w:lvl w:ilvl="0" w:tplc="0472E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AE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E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C81D34"/>
    <w:multiLevelType w:val="hybridMultilevel"/>
    <w:tmpl w:val="2CD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02F"/>
    <w:multiLevelType w:val="hybridMultilevel"/>
    <w:tmpl w:val="0F9C2588"/>
    <w:lvl w:ilvl="0" w:tplc="4B1CFA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0"/>
    <w:rsid w:val="00027ECF"/>
    <w:rsid w:val="0003284B"/>
    <w:rsid w:val="00033DC8"/>
    <w:rsid w:val="0004492D"/>
    <w:rsid w:val="00047758"/>
    <w:rsid w:val="00065132"/>
    <w:rsid w:val="000728F9"/>
    <w:rsid w:val="0009271B"/>
    <w:rsid w:val="0009772A"/>
    <w:rsid w:val="000B35C8"/>
    <w:rsid w:val="000B69BA"/>
    <w:rsid w:val="000E0F1C"/>
    <w:rsid w:val="001231ED"/>
    <w:rsid w:val="00186C5A"/>
    <w:rsid w:val="0018757E"/>
    <w:rsid w:val="001D7899"/>
    <w:rsid w:val="00262463"/>
    <w:rsid w:val="002827AB"/>
    <w:rsid w:val="002C590C"/>
    <w:rsid w:val="003300D2"/>
    <w:rsid w:val="00360A38"/>
    <w:rsid w:val="00382F57"/>
    <w:rsid w:val="003934F5"/>
    <w:rsid w:val="003B7425"/>
    <w:rsid w:val="003D16B7"/>
    <w:rsid w:val="003E1B70"/>
    <w:rsid w:val="003F4ABE"/>
    <w:rsid w:val="00423BEF"/>
    <w:rsid w:val="004262A6"/>
    <w:rsid w:val="004327CC"/>
    <w:rsid w:val="00481FE0"/>
    <w:rsid w:val="00482213"/>
    <w:rsid w:val="004C024D"/>
    <w:rsid w:val="004C203B"/>
    <w:rsid w:val="004C4D96"/>
    <w:rsid w:val="004D4127"/>
    <w:rsid w:val="00515566"/>
    <w:rsid w:val="0051679E"/>
    <w:rsid w:val="005423F7"/>
    <w:rsid w:val="005542F0"/>
    <w:rsid w:val="005F0A64"/>
    <w:rsid w:val="0066490F"/>
    <w:rsid w:val="006B66BA"/>
    <w:rsid w:val="006C1457"/>
    <w:rsid w:val="006E43F1"/>
    <w:rsid w:val="006F06F7"/>
    <w:rsid w:val="007372EA"/>
    <w:rsid w:val="00750229"/>
    <w:rsid w:val="00761382"/>
    <w:rsid w:val="00762D55"/>
    <w:rsid w:val="007D279A"/>
    <w:rsid w:val="00815141"/>
    <w:rsid w:val="0082169F"/>
    <w:rsid w:val="00822343"/>
    <w:rsid w:val="00885236"/>
    <w:rsid w:val="00886ABC"/>
    <w:rsid w:val="008950E0"/>
    <w:rsid w:val="00897D5F"/>
    <w:rsid w:val="008B7BBA"/>
    <w:rsid w:val="008C27D2"/>
    <w:rsid w:val="00901291"/>
    <w:rsid w:val="009308A7"/>
    <w:rsid w:val="00935973"/>
    <w:rsid w:val="009536A7"/>
    <w:rsid w:val="009646C2"/>
    <w:rsid w:val="009705E7"/>
    <w:rsid w:val="00970C83"/>
    <w:rsid w:val="009A45F6"/>
    <w:rsid w:val="00A43589"/>
    <w:rsid w:val="00A51FAE"/>
    <w:rsid w:val="00AA06B1"/>
    <w:rsid w:val="00AA6D45"/>
    <w:rsid w:val="00AB3B54"/>
    <w:rsid w:val="00AB4707"/>
    <w:rsid w:val="00AB6D54"/>
    <w:rsid w:val="00AF23F7"/>
    <w:rsid w:val="00B1470C"/>
    <w:rsid w:val="00B266B0"/>
    <w:rsid w:val="00B75E4B"/>
    <w:rsid w:val="00BB75EA"/>
    <w:rsid w:val="00C242B4"/>
    <w:rsid w:val="00C32468"/>
    <w:rsid w:val="00C43664"/>
    <w:rsid w:val="00C621D3"/>
    <w:rsid w:val="00C6278F"/>
    <w:rsid w:val="00C653F4"/>
    <w:rsid w:val="00D30941"/>
    <w:rsid w:val="00DB701E"/>
    <w:rsid w:val="00DD5F5B"/>
    <w:rsid w:val="00DE2916"/>
    <w:rsid w:val="00DF488F"/>
    <w:rsid w:val="00E04F06"/>
    <w:rsid w:val="00E243B9"/>
    <w:rsid w:val="00E252DE"/>
    <w:rsid w:val="00E51939"/>
    <w:rsid w:val="00E53366"/>
    <w:rsid w:val="00E91CAF"/>
    <w:rsid w:val="00E92067"/>
    <w:rsid w:val="00EE5FE6"/>
    <w:rsid w:val="00EF190E"/>
    <w:rsid w:val="00F3602F"/>
    <w:rsid w:val="00F5176C"/>
    <w:rsid w:val="00F80210"/>
    <w:rsid w:val="00FE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2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E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597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73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7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58"/>
    <w:rPr>
      <w:b/>
      <w:bCs/>
      <w:sz w:val="24"/>
      <w:szCs w:val="24"/>
    </w:rPr>
  </w:style>
  <w:style w:type="paragraph" w:customStyle="1" w:styleId="Default">
    <w:name w:val="Default"/>
    <w:rsid w:val="004262A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360A38"/>
    <w:pP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E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597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73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7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58"/>
    <w:rPr>
      <w:b/>
      <w:bCs/>
      <w:sz w:val="24"/>
      <w:szCs w:val="24"/>
    </w:rPr>
  </w:style>
  <w:style w:type="paragraph" w:customStyle="1" w:styleId="Default">
    <w:name w:val="Default"/>
    <w:rsid w:val="004262A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360A38"/>
    <w:pP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914D3-34FE-45BE-B5AD-1556742F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Meyer</dc:creator>
  <cp:lastModifiedBy>Christine Dunn</cp:lastModifiedBy>
  <cp:revision>2</cp:revision>
  <dcterms:created xsi:type="dcterms:W3CDTF">2016-10-27T15:24:00Z</dcterms:created>
  <dcterms:modified xsi:type="dcterms:W3CDTF">2016-10-27T15:24:00Z</dcterms:modified>
</cp:coreProperties>
</file>