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3D" w:rsidRDefault="00A34E3D">
      <w:pPr>
        <w:tabs>
          <w:tab w:val="left" w:pos="720"/>
        </w:tabs>
        <w:spacing w:after="120"/>
        <w:ind w:right="342"/>
        <w:rPr>
          <w:sz w:val="20"/>
        </w:rPr>
      </w:pPr>
    </w:p>
    <w:p w:rsidR="00E41036" w:rsidRDefault="00E41036" w:rsidP="00D431E6">
      <w:pPr>
        <w:tabs>
          <w:tab w:val="left" w:pos="720"/>
        </w:tabs>
        <w:spacing w:after="120"/>
        <w:ind w:right="342"/>
        <w:rPr>
          <w:sz w:val="20"/>
        </w:rPr>
      </w:pPr>
    </w:p>
    <w:p w:rsidR="00941AA5" w:rsidRDefault="00941AA5" w:rsidP="00237728">
      <w:pPr>
        <w:pStyle w:val="title"/>
        <w:spacing w:before="600" w:after="120"/>
        <w:rPr>
          <w:sz w:val="20"/>
        </w:rPr>
      </w:pPr>
      <w:r>
        <w:t xml:space="preserve">Course Packet </w:t>
      </w:r>
      <w:r w:rsidR="00237728">
        <w:t>I: For everyone</w:t>
      </w:r>
      <w:r>
        <w:t xml:space="preserve"> </w:t>
      </w:r>
    </w:p>
    <w:p w:rsidR="00900DFC" w:rsidRDefault="00FD638A" w:rsidP="00900DFC">
      <w:pPr>
        <w:numPr>
          <w:ilvl w:val="0"/>
          <w:numId w:val="23"/>
        </w:numPr>
        <w:tabs>
          <w:tab w:val="left" w:pos="720"/>
        </w:tabs>
        <w:spacing w:after="120"/>
        <w:rPr>
          <w:sz w:val="20"/>
        </w:rPr>
      </w:pPr>
      <w:r>
        <w:rPr>
          <w:sz w:val="20"/>
        </w:rPr>
        <w:t xml:space="preserve"> </w:t>
      </w:r>
      <w:r w:rsidR="00900DFC">
        <w:rPr>
          <w:sz w:val="20"/>
        </w:rPr>
        <w:t xml:space="preserve"> “Sugar and Spice”, new </w:t>
      </w:r>
      <w:r w:rsidR="00900DFC">
        <w:rPr>
          <w:i/>
          <w:sz w:val="20"/>
        </w:rPr>
        <w:t xml:space="preserve">Kellogg </w:t>
      </w:r>
      <w:r w:rsidR="00900DFC">
        <w:rPr>
          <w:sz w:val="20"/>
        </w:rPr>
        <w:t>case.</w:t>
      </w:r>
    </w:p>
    <w:p w:rsidR="00A34E3D" w:rsidRDefault="00900DFC" w:rsidP="00900DFC">
      <w:pPr>
        <w:numPr>
          <w:ilvl w:val="0"/>
          <w:numId w:val="23"/>
        </w:numPr>
        <w:tabs>
          <w:tab w:val="left" w:pos="720"/>
        </w:tabs>
        <w:spacing w:after="120"/>
        <w:rPr>
          <w:sz w:val="20"/>
        </w:rPr>
      </w:pPr>
      <w:r>
        <w:rPr>
          <w:sz w:val="20"/>
        </w:rPr>
        <w:t xml:space="preserve"> </w:t>
      </w:r>
      <w:r w:rsidR="00A34E3D">
        <w:rPr>
          <w:sz w:val="20"/>
        </w:rPr>
        <w:t xml:space="preserve">“American Connector Company (A)”, </w:t>
      </w:r>
      <w:r w:rsidR="00A34E3D">
        <w:rPr>
          <w:i/>
          <w:sz w:val="20"/>
        </w:rPr>
        <w:t xml:space="preserve">HBS </w:t>
      </w:r>
      <w:r w:rsidR="00A34E3D">
        <w:rPr>
          <w:sz w:val="20"/>
        </w:rPr>
        <w:t>case # 9-963-035.</w:t>
      </w:r>
    </w:p>
    <w:p w:rsidR="003F02AD" w:rsidRDefault="003F02AD" w:rsidP="003F02AD">
      <w:pPr>
        <w:numPr>
          <w:ilvl w:val="0"/>
          <w:numId w:val="23"/>
        </w:numPr>
        <w:tabs>
          <w:tab w:val="left" w:pos="720"/>
        </w:tabs>
        <w:spacing w:after="120"/>
        <w:ind w:right="-720"/>
        <w:rPr>
          <w:sz w:val="20"/>
        </w:rPr>
      </w:pPr>
      <w:r>
        <w:rPr>
          <w:sz w:val="20"/>
        </w:rPr>
        <w:t xml:space="preserve">“Eli Lilly: the Flexible Facility Decision (1993)”, </w:t>
      </w:r>
      <w:r>
        <w:rPr>
          <w:i/>
          <w:sz w:val="20"/>
        </w:rPr>
        <w:t>HBS</w:t>
      </w:r>
      <w:r>
        <w:rPr>
          <w:sz w:val="20"/>
        </w:rPr>
        <w:t xml:space="preserve"> case # 9-694-074.</w:t>
      </w:r>
      <w:r w:rsidR="00F12415">
        <w:rPr>
          <w:sz w:val="20"/>
        </w:rPr>
        <w:t xml:space="preserve">  With Kellogg Addendum.</w:t>
      </w:r>
    </w:p>
    <w:p w:rsidR="005D01BD" w:rsidRDefault="00900DFC" w:rsidP="005D01BD">
      <w:pPr>
        <w:numPr>
          <w:ilvl w:val="0"/>
          <w:numId w:val="23"/>
        </w:numPr>
        <w:tabs>
          <w:tab w:val="left" w:pos="720"/>
        </w:tabs>
        <w:spacing w:after="120"/>
        <w:rPr>
          <w:sz w:val="20"/>
        </w:rPr>
      </w:pPr>
      <w:r>
        <w:rPr>
          <w:sz w:val="20"/>
        </w:rPr>
        <w:t xml:space="preserve"> </w:t>
      </w:r>
      <w:r w:rsidR="005D01BD">
        <w:rPr>
          <w:sz w:val="20"/>
        </w:rPr>
        <w:t xml:space="preserve">“ITT Automotive: Global Manufacturing Strategy”, </w:t>
      </w:r>
      <w:r w:rsidR="005D01BD">
        <w:rPr>
          <w:i/>
          <w:sz w:val="20"/>
        </w:rPr>
        <w:t>HBS</w:t>
      </w:r>
      <w:r w:rsidR="005D01BD">
        <w:rPr>
          <w:sz w:val="20"/>
        </w:rPr>
        <w:t xml:space="preserve"> case # 9-695-002, 1996.</w:t>
      </w:r>
    </w:p>
    <w:p w:rsidR="00604FC0" w:rsidRDefault="00604FC0" w:rsidP="005D01BD">
      <w:pPr>
        <w:numPr>
          <w:ilvl w:val="0"/>
          <w:numId w:val="23"/>
        </w:numPr>
        <w:tabs>
          <w:tab w:val="left" w:pos="720"/>
        </w:tabs>
        <w:spacing w:after="120"/>
        <w:rPr>
          <w:sz w:val="20"/>
        </w:rPr>
      </w:pPr>
      <w:r>
        <w:rPr>
          <w:sz w:val="20"/>
        </w:rPr>
        <w:t xml:space="preserve">“Innovation at Mahindra &amp; Mahindra (A)”, </w:t>
      </w:r>
      <w:r>
        <w:rPr>
          <w:i/>
          <w:sz w:val="20"/>
        </w:rPr>
        <w:t xml:space="preserve">HBS </w:t>
      </w:r>
      <w:r>
        <w:rPr>
          <w:sz w:val="20"/>
        </w:rPr>
        <w:t>case # 9-609-065, 2009.</w:t>
      </w:r>
    </w:p>
    <w:p w:rsidR="00900DFC" w:rsidRDefault="00900DFC" w:rsidP="005D01BD">
      <w:pPr>
        <w:numPr>
          <w:ilvl w:val="0"/>
          <w:numId w:val="23"/>
        </w:numPr>
        <w:tabs>
          <w:tab w:val="left" w:pos="720"/>
        </w:tabs>
        <w:spacing w:after="120"/>
        <w:rPr>
          <w:sz w:val="20"/>
        </w:rPr>
      </w:pPr>
      <w:r>
        <w:rPr>
          <w:sz w:val="20"/>
        </w:rPr>
        <w:t xml:space="preserve">“World Food Program Zambia”, new </w:t>
      </w:r>
      <w:r>
        <w:rPr>
          <w:i/>
          <w:sz w:val="20"/>
        </w:rPr>
        <w:t xml:space="preserve">Kellogg </w:t>
      </w:r>
      <w:r>
        <w:rPr>
          <w:sz w:val="20"/>
        </w:rPr>
        <w:t>case.</w:t>
      </w:r>
    </w:p>
    <w:p w:rsidR="00237728" w:rsidRDefault="00237728" w:rsidP="00237728">
      <w:pPr>
        <w:pStyle w:val="title"/>
        <w:spacing w:before="600" w:after="120"/>
      </w:pPr>
    </w:p>
    <w:p w:rsidR="00237728" w:rsidRDefault="00237728" w:rsidP="00237728">
      <w:pPr>
        <w:pStyle w:val="title"/>
        <w:spacing w:before="600" w:after="120"/>
      </w:pPr>
      <w:r>
        <w:t>Course Packet II = cases from the textbook</w:t>
      </w:r>
    </w:p>
    <w:p w:rsidR="00237728" w:rsidRDefault="00237728" w:rsidP="00237728">
      <w:pPr>
        <w:pStyle w:val="title"/>
        <w:spacing w:before="600" w:after="120"/>
      </w:pPr>
      <w:r>
        <w:t>(Only if you do NOT have the textbook)</w:t>
      </w:r>
    </w:p>
    <w:p w:rsidR="00237728" w:rsidRDefault="00237728" w:rsidP="00237728">
      <w:pPr>
        <w:pStyle w:val="ListParagraph"/>
        <w:spacing w:after="120"/>
        <w:ind w:left="360" w:right="342"/>
        <w:rPr>
          <w:sz w:val="20"/>
        </w:rPr>
      </w:pPr>
    </w:p>
    <w:p w:rsidR="00237728" w:rsidRPr="00237728" w:rsidRDefault="00237728" w:rsidP="00237728">
      <w:pPr>
        <w:pStyle w:val="ListParagraph"/>
        <w:spacing w:after="120"/>
        <w:ind w:left="360" w:right="342"/>
        <w:rPr>
          <w:sz w:val="20"/>
        </w:rPr>
      </w:pPr>
      <w:r>
        <w:rPr>
          <w:sz w:val="20"/>
        </w:rPr>
        <w:t>As the author, I obviously believe that t</w:t>
      </w:r>
      <w:r w:rsidRPr="00237728">
        <w:rPr>
          <w:sz w:val="20"/>
        </w:rPr>
        <w:t xml:space="preserve">he textbook </w:t>
      </w:r>
      <w:r w:rsidRPr="00237728">
        <w:rPr>
          <w:i/>
          <w:sz w:val="20"/>
        </w:rPr>
        <w:t xml:space="preserve">Operations Strategy: Principles and Practice </w:t>
      </w:r>
      <w:r w:rsidRPr="00237728">
        <w:rPr>
          <w:sz w:val="20"/>
        </w:rPr>
        <w:t xml:space="preserve">by J. A. Van Mieghem (published version 2008 by </w:t>
      </w:r>
      <w:r w:rsidRPr="00237728">
        <w:rPr>
          <w:i/>
          <w:sz w:val="20"/>
        </w:rPr>
        <w:t>Dynamic Ideas, Belmont, MA</w:t>
      </w:r>
      <w:r w:rsidRPr="00237728">
        <w:rPr>
          <w:sz w:val="20"/>
        </w:rPr>
        <w:t xml:space="preserve">) </w:t>
      </w:r>
      <w:r>
        <w:rPr>
          <w:sz w:val="20"/>
        </w:rPr>
        <w:t xml:space="preserve">is a useful companion to this course and I recommend it.  It also </w:t>
      </w:r>
      <w:r w:rsidRPr="00237728">
        <w:rPr>
          <w:sz w:val="20"/>
        </w:rPr>
        <w:t xml:space="preserve">contains several cases and mini-cases that are covered in the course.  </w:t>
      </w:r>
      <w:r>
        <w:rPr>
          <w:sz w:val="20"/>
        </w:rPr>
        <w:t xml:space="preserve">However, to avoid any conflict of interest, these cases are available in course packet II if you do </w:t>
      </w:r>
      <w:r>
        <w:rPr>
          <w:i/>
          <w:sz w:val="20"/>
        </w:rPr>
        <w:t xml:space="preserve">not </w:t>
      </w:r>
      <w:r>
        <w:rPr>
          <w:sz w:val="20"/>
        </w:rPr>
        <w:t>have the textbook.</w:t>
      </w:r>
      <w:r>
        <w:rPr>
          <w:i/>
          <w:sz w:val="20"/>
        </w:rPr>
        <w:t xml:space="preserve"> </w:t>
      </w:r>
    </w:p>
    <w:p w:rsidR="00237728" w:rsidRDefault="00237728" w:rsidP="00237728">
      <w:pPr>
        <w:pStyle w:val="title"/>
        <w:spacing w:before="600" w:after="120"/>
        <w:rPr>
          <w:sz w:val="20"/>
        </w:rPr>
      </w:pPr>
      <w:r>
        <w:t xml:space="preserve"> </w:t>
      </w:r>
    </w:p>
    <w:p w:rsidR="00237728" w:rsidRDefault="00237728" w:rsidP="00237728">
      <w:pPr>
        <w:numPr>
          <w:ilvl w:val="0"/>
          <w:numId w:val="26"/>
        </w:numPr>
        <w:tabs>
          <w:tab w:val="left" w:pos="720"/>
        </w:tabs>
        <w:spacing w:after="120"/>
        <w:rPr>
          <w:sz w:val="20"/>
        </w:rPr>
      </w:pPr>
      <w:r>
        <w:rPr>
          <w:sz w:val="20"/>
        </w:rPr>
        <w:t xml:space="preserve">“The Swiss Watch Industry”, pp. 32-33 from </w:t>
      </w:r>
      <w:r>
        <w:rPr>
          <w:i/>
          <w:sz w:val="20"/>
        </w:rPr>
        <w:t xml:space="preserve">Operations Strategy </w:t>
      </w:r>
      <w:r>
        <w:rPr>
          <w:sz w:val="20"/>
        </w:rPr>
        <w:t>by J.A. Van Mieghem.</w:t>
      </w:r>
    </w:p>
    <w:p w:rsidR="00604FC0" w:rsidRDefault="00604FC0" w:rsidP="00604FC0">
      <w:pPr>
        <w:numPr>
          <w:ilvl w:val="0"/>
          <w:numId w:val="26"/>
        </w:numPr>
        <w:tabs>
          <w:tab w:val="left" w:pos="720"/>
        </w:tabs>
        <w:spacing w:after="120"/>
        <w:rPr>
          <w:sz w:val="20"/>
        </w:rPr>
      </w:pPr>
      <w:r>
        <w:rPr>
          <w:sz w:val="20"/>
        </w:rPr>
        <w:t xml:space="preserve">“Bose 301SE: Sourcing and Contracting”, p. 272 from </w:t>
      </w:r>
      <w:r>
        <w:rPr>
          <w:i/>
          <w:sz w:val="20"/>
        </w:rPr>
        <w:t xml:space="preserve">Operations Strategy </w:t>
      </w:r>
      <w:r>
        <w:rPr>
          <w:sz w:val="20"/>
        </w:rPr>
        <w:t>by J.A. Van Mieghem.</w:t>
      </w:r>
    </w:p>
    <w:p w:rsidR="00604FC0" w:rsidRDefault="00604FC0" w:rsidP="00604FC0">
      <w:pPr>
        <w:numPr>
          <w:ilvl w:val="0"/>
          <w:numId w:val="26"/>
        </w:numPr>
        <w:tabs>
          <w:tab w:val="left" w:pos="720"/>
        </w:tabs>
        <w:spacing w:after="120"/>
        <w:rPr>
          <w:sz w:val="20"/>
        </w:rPr>
      </w:pPr>
      <w:r>
        <w:rPr>
          <w:sz w:val="20"/>
        </w:rPr>
        <w:t xml:space="preserve">“Harley-Davidson Motor Company”, pp. 391-403 from </w:t>
      </w:r>
      <w:r>
        <w:rPr>
          <w:i/>
          <w:sz w:val="20"/>
        </w:rPr>
        <w:t xml:space="preserve">Operations Strategy </w:t>
      </w:r>
      <w:r>
        <w:rPr>
          <w:sz w:val="20"/>
        </w:rPr>
        <w:t>by J.A. Van Mieghem.</w:t>
      </w:r>
    </w:p>
    <w:p w:rsidR="00604FC0" w:rsidRDefault="00604FC0" w:rsidP="00604FC0">
      <w:pPr>
        <w:numPr>
          <w:ilvl w:val="0"/>
          <w:numId w:val="26"/>
        </w:numPr>
        <w:tabs>
          <w:tab w:val="left" w:pos="720"/>
        </w:tabs>
        <w:spacing w:after="120"/>
        <w:rPr>
          <w:sz w:val="20"/>
        </w:rPr>
      </w:pPr>
      <w:r>
        <w:rPr>
          <w:sz w:val="20"/>
        </w:rPr>
        <w:t xml:space="preserve">“Seagate Technology”, pp. 405-414 from </w:t>
      </w:r>
      <w:r>
        <w:rPr>
          <w:i/>
          <w:sz w:val="20"/>
        </w:rPr>
        <w:t xml:space="preserve">Operations Strategy </w:t>
      </w:r>
      <w:r>
        <w:rPr>
          <w:sz w:val="20"/>
        </w:rPr>
        <w:t>by J.A. Van Mieghem.</w:t>
      </w:r>
    </w:p>
    <w:p w:rsidR="00604FC0" w:rsidRPr="00604FC0" w:rsidRDefault="00604FC0" w:rsidP="00604FC0">
      <w:pPr>
        <w:numPr>
          <w:ilvl w:val="0"/>
          <w:numId w:val="26"/>
        </w:numPr>
        <w:tabs>
          <w:tab w:val="left" w:pos="720"/>
        </w:tabs>
        <w:spacing w:after="120"/>
        <w:rPr>
          <w:sz w:val="20"/>
        </w:rPr>
      </w:pPr>
      <w:r>
        <w:rPr>
          <w:sz w:val="20"/>
        </w:rPr>
        <w:t xml:space="preserve">“Peapod”, pp. 415-428 from </w:t>
      </w:r>
      <w:r>
        <w:rPr>
          <w:i/>
          <w:sz w:val="20"/>
        </w:rPr>
        <w:t xml:space="preserve">Operations Strategy </w:t>
      </w:r>
      <w:r>
        <w:rPr>
          <w:sz w:val="20"/>
        </w:rPr>
        <w:t>by J.A. Van Mieghem.</w:t>
      </w:r>
    </w:p>
    <w:p w:rsidR="00A42F54" w:rsidRDefault="00A42F54" w:rsidP="00A42F54">
      <w:pPr>
        <w:tabs>
          <w:tab w:val="left" w:pos="720"/>
        </w:tabs>
        <w:spacing w:after="120"/>
        <w:rPr>
          <w:sz w:val="20"/>
        </w:rPr>
      </w:pPr>
    </w:p>
    <w:sectPr w:rsidR="00A42F54" w:rsidSect="00AA205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584" w:bottom="1440" w:left="158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36C" w:rsidRDefault="00A9536C">
      <w:r>
        <w:separator/>
      </w:r>
    </w:p>
  </w:endnote>
  <w:endnote w:type="continuationSeparator" w:id="0">
    <w:p w:rsidR="00A9536C" w:rsidRDefault="00A95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aggadocio">
    <w:altName w:val="Curlz MT"/>
    <w:charset w:val="00"/>
    <w:family w:val="decorative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AA5" w:rsidRDefault="004272B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41AA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1AA5" w:rsidRDefault="00941A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AA5" w:rsidRDefault="004272B6">
    <w:pPr>
      <w:pStyle w:val="Footer"/>
      <w:pBdr>
        <w:top w:val="single" w:sz="12" w:space="1" w:color="auto"/>
      </w:pBdr>
      <w:spacing w:before="120"/>
      <w:jc w:val="right"/>
    </w:pPr>
    <w:r>
      <w:rPr>
        <w:rStyle w:val="PageNumber"/>
      </w:rPr>
      <w:fldChar w:fldCharType="begin"/>
    </w:r>
    <w:r w:rsidR="00941AA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7728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AA5" w:rsidRDefault="00941AA5">
    <w:pPr>
      <w:pStyle w:val="Footer"/>
      <w:pBdr>
        <w:top w:val="single" w:sz="12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36C" w:rsidRDefault="00A9536C">
      <w:r>
        <w:separator/>
      </w:r>
    </w:p>
  </w:footnote>
  <w:footnote w:type="continuationSeparator" w:id="0">
    <w:p w:rsidR="00A9536C" w:rsidRDefault="00A953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AA5" w:rsidRDefault="00941AA5">
    <w:pPr>
      <w:pStyle w:val="Header"/>
      <w:tabs>
        <w:tab w:val="clear" w:pos="8640"/>
        <w:tab w:val="right" w:pos="9090"/>
      </w:tabs>
      <w:rPr>
        <w:sz w:val="18"/>
      </w:rPr>
    </w:pPr>
    <w:r>
      <w:rPr>
        <w:sz w:val="18"/>
      </w:rPr>
      <w:tab/>
    </w:r>
    <w:r>
      <w:rPr>
        <w:rFonts w:ascii="Braggadocio" w:hAnsi="Braggadocio"/>
        <w:sz w:val="18"/>
      </w:rPr>
      <w:tab/>
    </w:r>
    <w:r>
      <w:rPr>
        <w:sz w:val="18"/>
      </w:rPr>
      <w:t>Case Pack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AA5" w:rsidRPr="00A112BD" w:rsidRDefault="00860DEB">
    <w:pPr>
      <w:pStyle w:val="Header"/>
      <w:pBdr>
        <w:top w:val="single" w:sz="12" w:space="1" w:color="auto"/>
      </w:pBdr>
      <w:tabs>
        <w:tab w:val="clear" w:pos="4320"/>
        <w:tab w:val="clear" w:pos="8640"/>
        <w:tab w:val="left" w:pos="0"/>
        <w:tab w:val="right" w:pos="9090"/>
        <w:tab w:val="right" w:pos="12960"/>
      </w:tabs>
      <w:ind w:right="18"/>
      <w:rPr>
        <w:rFonts w:ascii="Palatino Linotype" w:hAnsi="Palatino Linotype"/>
      </w:rPr>
    </w:pPr>
    <w:r>
      <w:rPr>
        <w:b/>
        <w:noProof/>
        <w:spacing w:val="-28"/>
        <w:sz w:val="52"/>
      </w:rPr>
      <w:drawing>
        <wp:inline distT="0" distB="0" distL="0" distR="0">
          <wp:extent cx="2607310" cy="574040"/>
          <wp:effectExtent l="19050" t="0" r="2540" b="0"/>
          <wp:docPr id="1" name="Picture 1" descr="OPNS454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NS454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7310" cy="574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41AA5" w:rsidRPr="00A112BD">
      <w:rPr>
        <w:sz w:val="20"/>
      </w:rPr>
      <w:tab/>
    </w:r>
    <w:r w:rsidR="00A112BD" w:rsidRPr="00A112BD">
      <w:rPr>
        <w:sz w:val="20"/>
      </w:rPr>
      <w:t>Professor Van Mieghem</w:t>
    </w:r>
    <w:r w:rsidR="00237728">
      <w:rPr>
        <w:sz w:val="20"/>
      </w:rPr>
      <w:t>; 11/1/11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AC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A558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6FB03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28A7EF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3DA52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E2B7FD4"/>
    <w:multiLevelType w:val="singleLevel"/>
    <w:tmpl w:val="0409000F"/>
    <w:lvl w:ilvl="0">
      <w:start w:val="42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25B6719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9E5787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F1211FE"/>
    <w:multiLevelType w:val="singleLevel"/>
    <w:tmpl w:val="0409000F"/>
    <w:lvl w:ilvl="0">
      <w:start w:val="23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9">
    <w:nsid w:val="33A87195"/>
    <w:multiLevelType w:val="singleLevel"/>
    <w:tmpl w:val="0409000F"/>
    <w:lvl w:ilvl="0">
      <w:start w:val="46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0">
    <w:nsid w:val="37904C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2D945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62806F8"/>
    <w:multiLevelType w:val="singleLevel"/>
    <w:tmpl w:val="F22E5510"/>
    <w:lvl w:ilvl="0">
      <w:start w:val="6"/>
      <w:numFmt w:val="decimal"/>
      <w:lvlText w:val="%1."/>
      <w:legacy w:legacy="1" w:legacySpace="0" w:legacyIndent="360"/>
      <w:lvlJc w:val="left"/>
    </w:lvl>
  </w:abstractNum>
  <w:abstractNum w:abstractNumId="13">
    <w:nsid w:val="6928765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9A34EC5"/>
    <w:multiLevelType w:val="hybridMultilevel"/>
    <w:tmpl w:val="50FE9A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2915DB"/>
    <w:multiLevelType w:val="singleLevel"/>
    <w:tmpl w:val="0409000F"/>
    <w:lvl w:ilvl="0">
      <w:start w:val="14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6">
    <w:nsid w:val="7C2140F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7EBC56E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7F3A21F0"/>
    <w:multiLevelType w:val="singleLevel"/>
    <w:tmpl w:val="0409000F"/>
    <w:lvl w:ilvl="0">
      <w:start w:val="36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6"/>
  </w:num>
  <w:num w:numId="2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6">
    <w:abstractNumId w:val="12"/>
  </w:num>
  <w:num w:numId="7">
    <w:abstractNumId w:val="15"/>
  </w:num>
  <w:num w:numId="8">
    <w:abstractNumId w:val="15"/>
    <w:lvlOverride w:ilvl="0">
      <w:lvl w:ilvl="0">
        <w:start w:val="17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8"/>
  </w:num>
  <w:num w:numId="10">
    <w:abstractNumId w:val="18"/>
  </w:num>
  <w:num w:numId="11">
    <w:abstractNumId w:val="5"/>
  </w:num>
  <w:num w:numId="12">
    <w:abstractNumId w:val="5"/>
    <w:lvlOverride w:ilvl="0">
      <w:lvl w:ilvl="0">
        <w:start w:val="44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9"/>
  </w:num>
  <w:num w:numId="14">
    <w:abstractNumId w:val="9"/>
    <w:lvlOverride w:ilvl="0">
      <w:lvl w:ilvl="0">
        <w:start w:val="47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3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2"/>
  </w:num>
  <w:num w:numId="21">
    <w:abstractNumId w:val="6"/>
  </w:num>
  <w:num w:numId="22">
    <w:abstractNumId w:val="6"/>
  </w:num>
  <w:num w:numId="23">
    <w:abstractNumId w:val="13"/>
  </w:num>
  <w:num w:numId="24">
    <w:abstractNumId w:val="13"/>
  </w:num>
  <w:num w:numId="25">
    <w:abstractNumId w:val="14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25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D22"/>
    <w:rsid w:val="00013CBE"/>
    <w:rsid w:val="000B6E24"/>
    <w:rsid w:val="000F23E6"/>
    <w:rsid w:val="001E555C"/>
    <w:rsid w:val="00237728"/>
    <w:rsid w:val="0030428F"/>
    <w:rsid w:val="00365E3C"/>
    <w:rsid w:val="00391E7D"/>
    <w:rsid w:val="003B7E91"/>
    <w:rsid w:val="003C2793"/>
    <w:rsid w:val="003F02AD"/>
    <w:rsid w:val="00406E7B"/>
    <w:rsid w:val="004272B6"/>
    <w:rsid w:val="00450BFA"/>
    <w:rsid w:val="00470A98"/>
    <w:rsid w:val="004F2AA2"/>
    <w:rsid w:val="00573BDE"/>
    <w:rsid w:val="00577E7E"/>
    <w:rsid w:val="005D01BD"/>
    <w:rsid w:val="005D2078"/>
    <w:rsid w:val="00604FC0"/>
    <w:rsid w:val="006069F7"/>
    <w:rsid w:val="006A1A5F"/>
    <w:rsid w:val="0075733A"/>
    <w:rsid w:val="00762DF6"/>
    <w:rsid w:val="007D244A"/>
    <w:rsid w:val="00860DEB"/>
    <w:rsid w:val="008B6F52"/>
    <w:rsid w:val="00900DFC"/>
    <w:rsid w:val="00941AA5"/>
    <w:rsid w:val="009A6F9F"/>
    <w:rsid w:val="00A112BD"/>
    <w:rsid w:val="00A34E3D"/>
    <w:rsid w:val="00A37913"/>
    <w:rsid w:val="00A42F54"/>
    <w:rsid w:val="00A50453"/>
    <w:rsid w:val="00A9536C"/>
    <w:rsid w:val="00AA2054"/>
    <w:rsid w:val="00AA6F02"/>
    <w:rsid w:val="00B70D73"/>
    <w:rsid w:val="00B849AA"/>
    <w:rsid w:val="00BD3F03"/>
    <w:rsid w:val="00CC150F"/>
    <w:rsid w:val="00D431E6"/>
    <w:rsid w:val="00E20D22"/>
    <w:rsid w:val="00E41036"/>
    <w:rsid w:val="00E62DBB"/>
    <w:rsid w:val="00F12415"/>
    <w:rsid w:val="00F3200B"/>
    <w:rsid w:val="00F52F19"/>
    <w:rsid w:val="00F87744"/>
    <w:rsid w:val="00FD6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2054"/>
    <w:pPr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AA2054"/>
    <w:pPr>
      <w:keepNext/>
      <w:spacing w:before="360" w:after="240"/>
      <w:jc w:val="left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AA2054"/>
    <w:pPr>
      <w:keepNext/>
      <w:spacing w:before="240" w:after="12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AA2054"/>
    <w:pPr>
      <w:keepNext/>
      <w:spacing w:before="240" w:after="60"/>
      <w:outlineLvl w:val="2"/>
    </w:pPr>
    <w:rPr>
      <w:rFonts w:ascii="Helvetica" w:hAnsi="Helvetica"/>
      <w:sz w:val="24"/>
    </w:rPr>
  </w:style>
  <w:style w:type="paragraph" w:styleId="Heading4">
    <w:name w:val="heading 4"/>
    <w:basedOn w:val="Normal"/>
    <w:next w:val="Normal"/>
    <w:qFormat/>
    <w:rsid w:val="00AA2054"/>
    <w:pPr>
      <w:keepNext/>
      <w:spacing w:before="240" w:after="60"/>
      <w:outlineLvl w:val="3"/>
    </w:pPr>
    <w:rPr>
      <w:rFonts w:ascii="Helvetica" w:hAnsi="Helvetica"/>
      <w:b/>
      <w:sz w:val="24"/>
    </w:rPr>
  </w:style>
  <w:style w:type="paragraph" w:styleId="Heading5">
    <w:name w:val="heading 5"/>
    <w:basedOn w:val="Normal"/>
    <w:next w:val="Normal"/>
    <w:qFormat/>
    <w:rsid w:val="00AA2054"/>
    <w:pPr>
      <w:spacing w:before="240" w:after="60"/>
      <w:outlineLvl w:val="4"/>
    </w:pPr>
    <w:rPr>
      <w:rFonts w:ascii="Helvetica" w:hAnsi="Helvetica"/>
    </w:rPr>
  </w:style>
  <w:style w:type="paragraph" w:styleId="Heading6">
    <w:name w:val="heading 6"/>
    <w:basedOn w:val="Normal"/>
    <w:next w:val="Normal"/>
    <w:qFormat/>
    <w:rsid w:val="00AA2054"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AA2054"/>
    <w:p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rsid w:val="00AA2054"/>
    <w:p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rsid w:val="00AA2054"/>
    <w:pPr>
      <w:spacing w:before="240" w:after="60"/>
      <w:outlineLvl w:val="8"/>
    </w:pPr>
    <w:rPr>
      <w:rFonts w:ascii="Helvetica" w:hAnsi="Helvetica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205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A2054"/>
    <w:pPr>
      <w:tabs>
        <w:tab w:val="center" w:pos="4320"/>
        <w:tab w:val="right" w:pos="8640"/>
      </w:tabs>
    </w:pPr>
  </w:style>
  <w:style w:type="paragraph" w:styleId="TOC8">
    <w:name w:val="toc 8"/>
    <w:basedOn w:val="Normal"/>
    <w:next w:val="Normal"/>
    <w:semiHidden/>
    <w:rsid w:val="00AA2054"/>
    <w:pPr>
      <w:tabs>
        <w:tab w:val="left" w:pos="9000"/>
        <w:tab w:val="right" w:pos="9360"/>
      </w:tabs>
      <w:ind w:left="720" w:hanging="720"/>
    </w:pPr>
    <w:rPr>
      <w:rFonts w:ascii="Courier New" w:hAnsi="Courier New"/>
    </w:rPr>
  </w:style>
  <w:style w:type="character" w:styleId="PageNumber">
    <w:name w:val="page number"/>
    <w:basedOn w:val="DefaultParagraphFont"/>
    <w:rsid w:val="00AA2054"/>
  </w:style>
  <w:style w:type="paragraph" w:styleId="BodyText">
    <w:name w:val="Body Text"/>
    <w:basedOn w:val="Normal"/>
    <w:rsid w:val="00AA205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title">
    <w:name w:val="title"/>
    <w:basedOn w:val="Normal"/>
    <w:next w:val="section"/>
    <w:rsid w:val="00AA2054"/>
    <w:pPr>
      <w:spacing w:before="1080" w:after="240"/>
      <w:jc w:val="center"/>
    </w:pPr>
    <w:rPr>
      <w:b/>
      <w:smallCaps/>
      <w:sz w:val="36"/>
    </w:rPr>
  </w:style>
  <w:style w:type="paragraph" w:customStyle="1" w:styleId="section">
    <w:name w:val="section"/>
    <w:basedOn w:val="title"/>
    <w:next w:val="Normal"/>
    <w:rsid w:val="00AA2054"/>
    <w:pPr>
      <w:jc w:val="left"/>
    </w:pPr>
    <w:rPr>
      <w:smallCaps w:val="0"/>
      <w:sz w:val="28"/>
    </w:rPr>
  </w:style>
  <w:style w:type="paragraph" w:customStyle="1" w:styleId="Abstract">
    <w:name w:val="Abstract"/>
    <w:basedOn w:val="Normal"/>
    <w:rsid w:val="00AA2054"/>
    <w:pPr>
      <w:ind w:left="1296" w:right="1296"/>
    </w:pPr>
    <w:rPr>
      <w:sz w:val="18"/>
    </w:rPr>
  </w:style>
  <w:style w:type="paragraph" w:styleId="BalloonText">
    <w:name w:val="Balloon Text"/>
    <w:basedOn w:val="Normal"/>
    <w:semiHidden/>
    <w:rsid w:val="00E62DBB"/>
    <w:rPr>
      <w:rFonts w:ascii="Tahoma" w:hAnsi="Tahoma" w:cs="Tahoma"/>
      <w:sz w:val="16"/>
      <w:szCs w:val="16"/>
    </w:rPr>
  </w:style>
  <w:style w:type="paragraph" w:customStyle="1" w:styleId="Default">
    <w:name w:val="Default"/>
    <w:basedOn w:val="Normal"/>
    <w:rsid w:val="00A42F54"/>
    <w:pPr>
      <w:autoSpaceDE w:val="0"/>
      <w:autoSpaceDN w:val="0"/>
      <w:jc w:val="left"/>
    </w:pPr>
    <w:rPr>
      <w:rFonts w:eastAsiaTheme="minorHAns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377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TEMPLATE\OM_NO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OM_NOTE.DOT</Template>
  <TotalTime>23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Packet OM-D30</vt:lpstr>
    </vt:vector>
  </TitlesOfParts>
  <Company>Kellogg School of Management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Packet OM-D30</dc:title>
  <dc:subject>Table of Contents</dc:subject>
  <dc:creator>Jan van Mieghem</dc:creator>
  <cp:lastModifiedBy>Jan A. Van Mieghem</cp:lastModifiedBy>
  <cp:revision>8</cp:revision>
  <cp:lastPrinted>2007-08-02T18:34:00Z</cp:lastPrinted>
  <dcterms:created xsi:type="dcterms:W3CDTF">2010-11-11T21:10:00Z</dcterms:created>
  <dcterms:modified xsi:type="dcterms:W3CDTF">2011-11-01T21:04:00Z</dcterms:modified>
</cp:coreProperties>
</file>