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182" w:rsidRPr="00DB1182" w:rsidRDefault="00DB1182" w:rsidP="00DB1182">
      <w:pPr>
        <w:pStyle w:val="NoSpacing"/>
        <w:jc w:val="center"/>
      </w:pPr>
    </w:p>
    <w:tbl>
      <w:tblPr>
        <w:tblW w:w="5000" w:type="pct"/>
        <w:tblCellSpacing w:w="15" w:type="dxa"/>
        <w:tblCellMar>
          <w:left w:w="0" w:type="dxa"/>
          <w:right w:w="0" w:type="dxa"/>
        </w:tblCellMar>
        <w:tblLook w:val="04A0"/>
      </w:tblPr>
      <w:tblGrid>
        <w:gridCol w:w="9420"/>
      </w:tblGrid>
      <w:tr w:rsidR="00DB1182" w:rsidRPr="00DB1182" w:rsidTr="00DB1182">
        <w:trPr>
          <w:trHeight w:val="360"/>
          <w:tblCellSpacing w:w="15" w:type="dxa"/>
        </w:trPr>
        <w:tc>
          <w:tcPr>
            <w:tcW w:w="4968" w:type="pct"/>
            <w:vAlign w:val="center"/>
            <w:hideMark/>
          </w:tcPr>
          <w:p w:rsidR="00DB1182" w:rsidRPr="00DB1182" w:rsidRDefault="00DB1182" w:rsidP="00DB1182">
            <w:pPr>
              <w:spacing w:after="0" w:line="360" w:lineRule="atLeast"/>
              <w:jc w:val="center"/>
              <w:rPr>
                <w:rFonts w:ascii="Times New Roman" w:eastAsia="Times New Roman" w:hAnsi="Times New Roman" w:cs="Times New Roman"/>
                <w:b/>
                <w:bCs/>
                <w:sz w:val="28"/>
                <w:szCs w:val="28"/>
              </w:rPr>
            </w:pPr>
            <w:proofErr w:type="spellStart"/>
            <w:r w:rsidRPr="00DB1182">
              <w:rPr>
                <w:rFonts w:ascii="Times New Roman" w:eastAsia="Times New Roman" w:hAnsi="Times New Roman" w:cs="Times New Roman"/>
                <w:b/>
                <w:bCs/>
                <w:sz w:val="28"/>
                <w:szCs w:val="28"/>
              </w:rPr>
              <w:t>Innovest</w:t>
            </w:r>
            <w:proofErr w:type="spellEnd"/>
            <w:r w:rsidRPr="00DB1182">
              <w:rPr>
                <w:rFonts w:ascii="Times New Roman" w:eastAsia="Times New Roman" w:hAnsi="Times New Roman" w:cs="Times New Roman"/>
                <w:b/>
                <w:bCs/>
                <w:sz w:val="28"/>
                <w:szCs w:val="28"/>
              </w:rPr>
              <w:t xml:space="preserve"> Company Information (from website)</w:t>
            </w:r>
          </w:p>
          <w:p w:rsidR="00DB1182" w:rsidRPr="00DB1182" w:rsidRDefault="00DB1182" w:rsidP="00DB1182">
            <w:pPr>
              <w:spacing w:after="0" w:line="360" w:lineRule="atLeast"/>
              <w:rPr>
                <w:rFonts w:ascii="Times New Roman" w:eastAsia="Times New Roman" w:hAnsi="Times New Roman" w:cs="Times New Roman"/>
                <w:b/>
                <w:bCs/>
                <w:sz w:val="24"/>
                <w:szCs w:val="24"/>
                <w:u w:val="single"/>
              </w:rPr>
            </w:pPr>
            <w:r w:rsidRPr="00DB1182">
              <w:rPr>
                <w:rFonts w:ascii="Times New Roman" w:eastAsia="Times New Roman" w:hAnsi="Times New Roman" w:cs="Times New Roman"/>
                <w:b/>
                <w:bCs/>
                <w:sz w:val="24"/>
                <w:szCs w:val="24"/>
                <w:u w:val="single"/>
              </w:rPr>
              <w:t xml:space="preserve">Our Story </w:t>
            </w:r>
          </w:p>
        </w:tc>
      </w:tr>
    </w:tbl>
    <w:p w:rsidR="00DB1182" w:rsidRPr="00DB1182" w:rsidRDefault="00DB1182" w:rsidP="00DB1182">
      <w:pPr>
        <w:spacing w:after="0" w:line="336" w:lineRule="auto"/>
        <w:rPr>
          <w:rFonts w:ascii="Times New Roman" w:eastAsia="Times New Roman" w:hAnsi="Times New Roman" w:cs="Times New Roman"/>
          <w:vanish/>
          <w:sz w:val="20"/>
          <w:szCs w:val="20"/>
        </w:rPr>
      </w:pPr>
    </w:p>
    <w:tbl>
      <w:tblPr>
        <w:tblW w:w="5000" w:type="pct"/>
        <w:tblCellSpacing w:w="15" w:type="dxa"/>
        <w:tblCellMar>
          <w:left w:w="0" w:type="dxa"/>
          <w:right w:w="0" w:type="dxa"/>
        </w:tblCellMar>
        <w:tblLook w:val="04A0"/>
      </w:tblPr>
      <w:tblGrid>
        <w:gridCol w:w="9420"/>
      </w:tblGrid>
      <w:tr w:rsidR="00DB1182" w:rsidRPr="00DB1182">
        <w:trPr>
          <w:tblCellSpacing w:w="15" w:type="dxa"/>
        </w:trPr>
        <w:tc>
          <w:tcPr>
            <w:tcW w:w="0" w:type="auto"/>
            <w:hideMark/>
          </w:tcPr>
          <w:p w:rsidR="00DB1182" w:rsidRPr="00DB1182" w:rsidRDefault="00DB1182" w:rsidP="00DB1182">
            <w:pPr>
              <w:spacing w:after="180"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Like most businesses that exemplify thought leadership, the idea for </w:t>
            </w:r>
            <w:proofErr w:type="spellStart"/>
            <w:r w:rsidRPr="00DB1182">
              <w:rPr>
                <w:rFonts w:ascii="Times New Roman" w:eastAsia="Times New Roman" w:hAnsi="Times New Roman" w:cs="Times New Roman"/>
                <w:sz w:val="20"/>
                <w:szCs w:val="20"/>
              </w:rPr>
              <w:t>Innovest</w:t>
            </w:r>
            <w:proofErr w:type="spellEnd"/>
            <w:r w:rsidRPr="00DB1182">
              <w:rPr>
                <w:rFonts w:ascii="Times New Roman" w:eastAsia="Times New Roman" w:hAnsi="Times New Roman" w:cs="Times New Roman"/>
                <w:sz w:val="20"/>
                <w:szCs w:val="20"/>
              </w:rPr>
              <w:t xml:space="preserve"> came from two individuals with substantial business experience and with a desire ‘to see it done better’.  The firm’s founder and CEO, Dr. Matthew Kiernan, is a former senior partner with KPMG and was the first director of what is now the World Business Council for Sustainable Development in Geneva. The co-founder and President, </w:t>
            </w:r>
            <w:proofErr w:type="spellStart"/>
            <w:r w:rsidRPr="00DB1182">
              <w:rPr>
                <w:rFonts w:ascii="Times New Roman" w:eastAsia="Times New Roman" w:hAnsi="Times New Roman" w:cs="Times New Roman"/>
                <w:sz w:val="20"/>
                <w:szCs w:val="20"/>
              </w:rPr>
              <w:t>Hewson</w:t>
            </w:r>
            <w:proofErr w:type="spellEnd"/>
            <w:r w:rsidRPr="00DB1182">
              <w:rPr>
                <w:rFonts w:ascii="Times New Roman" w:eastAsia="Times New Roman" w:hAnsi="Times New Roman" w:cs="Times New Roman"/>
                <w:sz w:val="20"/>
                <w:szCs w:val="20"/>
              </w:rPr>
              <w:t xml:space="preserve"> </w:t>
            </w:r>
            <w:proofErr w:type="spellStart"/>
            <w:r w:rsidRPr="00DB1182">
              <w:rPr>
                <w:rFonts w:ascii="Times New Roman" w:eastAsia="Times New Roman" w:hAnsi="Times New Roman" w:cs="Times New Roman"/>
                <w:sz w:val="20"/>
                <w:szCs w:val="20"/>
              </w:rPr>
              <w:t>Baltzell</w:t>
            </w:r>
            <w:proofErr w:type="spellEnd"/>
            <w:r w:rsidRPr="00DB1182">
              <w:rPr>
                <w:rFonts w:ascii="Times New Roman" w:eastAsia="Times New Roman" w:hAnsi="Times New Roman" w:cs="Times New Roman"/>
                <w:sz w:val="20"/>
                <w:szCs w:val="20"/>
              </w:rPr>
              <w:t xml:space="preserve">, had a previous career in finance with Lehman Brothers, J.P. Morgan Chase and several private investment companies. During </w:t>
            </w:r>
            <w:proofErr w:type="spellStart"/>
            <w:r w:rsidRPr="00DB1182">
              <w:rPr>
                <w:rFonts w:ascii="Times New Roman" w:eastAsia="Times New Roman" w:hAnsi="Times New Roman" w:cs="Times New Roman"/>
                <w:sz w:val="20"/>
                <w:szCs w:val="20"/>
              </w:rPr>
              <w:t>Innovest’s</w:t>
            </w:r>
            <w:proofErr w:type="spellEnd"/>
            <w:r w:rsidRPr="00DB1182">
              <w:rPr>
                <w:rFonts w:ascii="Times New Roman" w:eastAsia="Times New Roman" w:hAnsi="Times New Roman" w:cs="Times New Roman"/>
                <w:sz w:val="20"/>
                <w:szCs w:val="20"/>
              </w:rPr>
              <w:t xml:space="preserve"> beginning, an Executive Advisory Board of highly accomplished professionals helped the company get off the ground; Jim Martin, former CIO for North America’s largest pension fund, TIAA-CREF, was the former Chairman and gave valuable professional guidance to the company.  </w:t>
            </w:r>
            <w:proofErr w:type="spellStart"/>
            <w:r w:rsidRPr="00DB1182">
              <w:rPr>
                <w:rFonts w:ascii="Times New Roman" w:eastAsia="Times New Roman" w:hAnsi="Times New Roman" w:cs="Times New Roman"/>
                <w:sz w:val="20"/>
                <w:szCs w:val="20"/>
              </w:rPr>
              <w:t>Innovest’s</w:t>
            </w:r>
            <w:proofErr w:type="spellEnd"/>
            <w:r w:rsidRPr="00DB1182">
              <w:rPr>
                <w:rFonts w:ascii="Times New Roman" w:eastAsia="Times New Roman" w:hAnsi="Times New Roman" w:cs="Times New Roman"/>
                <w:sz w:val="20"/>
                <w:szCs w:val="20"/>
              </w:rPr>
              <w:t xml:space="preserve"> advisory directors have also included former senior executives from such leading financial companies as Citibank, a former G8 finance minister, and the former Chairman of Royal Dutch/Shell. </w:t>
            </w:r>
          </w:p>
          <w:p w:rsidR="00DB1182" w:rsidRPr="00DB1182" w:rsidRDefault="00DB1182" w:rsidP="00DB1182">
            <w:pPr>
              <w:spacing w:after="180" w:line="336" w:lineRule="auto"/>
              <w:rPr>
                <w:rFonts w:ascii="Times New Roman" w:eastAsia="Times New Roman" w:hAnsi="Times New Roman" w:cs="Times New Roman"/>
                <w:sz w:val="20"/>
                <w:szCs w:val="20"/>
              </w:rPr>
            </w:pPr>
            <w:proofErr w:type="spellStart"/>
            <w:r w:rsidRPr="00DB1182">
              <w:rPr>
                <w:rFonts w:ascii="Times New Roman" w:eastAsia="Times New Roman" w:hAnsi="Times New Roman" w:cs="Times New Roman"/>
                <w:sz w:val="20"/>
                <w:szCs w:val="20"/>
              </w:rPr>
              <w:t>Innovest</w:t>
            </w:r>
            <w:proofErr w:type="spellEnd"/>
            <w:r w:rsidRPr="00DB1182">
              <w:rPr>
                <w:rFonts w:ascii="Times New Roman" w:eastAsia="Times New Roman" w:hAnsi="Times New Roman" w:cs="Times New Roman"/>
                <w:sz w:val="20"/>
                <w:szCs w:val="20"/>
              </w:rPr>
              <w:t xml:space="preserve"> currently has over US$1.3 billion under structured sub-advisory mandates with asset management partners such as State Street Global Advisors, </w:t>
            </w:r>
            <w:proofErr w:type="spellStart"/>
            <w:r w:rsidRPr="00DB1182">
              <w:rPr>
                <w:rFonts w:ascii="Times New Roman" w:eastAsia="Times New Roman" w:hAnsi="Times New Roman" w:cs="Times New Roman"/>
                <w:sz w:val="20"/>
                <w:szCs w:val="20"/>
              </w:rPr>
              <w:t>CalPERS</w:t>
            </w:r>
            <w:proofErr w:type="spellEnd"/>
            <w:r w:rsidRPr="00DB1182">
              <w:rPr>
                <w:rFonts w:ascii="Times New Roman" w:eastAsia="Times New Roman" w:hAnsi="Times New Roman" w:cs="Times New Roman"/>
                <w:sz w:val="20"/>
                <w:szCs w:val="20"/>
              </w:rPr>
              <w:t xml:space="preserve">, and others. </w:t>
            </w:r>
            <w:proofErr w:type="spellStart"/>
            <w:r w:rsidRPr="00DB1182">
              <w:rPr>
                <w:rFonts w:ascii="Times New Roman" w:eastAsia="Times New Roman" w:hAnsi="Times New Roman" w:cs="Times New Roman"/>
                <w:sz w:val="20"/>
                <w:szCs w:val="20"/>
              </w:rPr>
              <w:t>Innovest</w:t>
            </w:r>
            <w:proofErr w:type="spellEnd"/>
            <w:r w:rsidRPr="00DB1182">
              <w:rPr>
                <w:rFonts w:ascii="Times New Roman" w:eastAsia="Times New Roman" w:hAnsi="Times New Roman" w:cs="Times New Roman"/>
                <w:sz w:val="20"/>
                <w:szCs w:val="20"/>
              </w:rPr>
              <w:t xml:space="preserve"> also provides custom portfolio analysis and research to more than thirty major institutional investors including UBS, Henderson Global Advisors, HSBC, BNP Paribas, </w:t>
            </w:r>
            <w:proofErr w:type="spellStart"/>
            <w:r w:rsidRPr="00DB1182">
              <w:rPr>
                <w:rFonts w:ascii="Times New Roman" w:eastAsia="Times New Roman" w:hAnsi="Times New Roman" w:cs="Times New Roman"/>
                <w:sz w:val="20"/>
                <w:szCs w:val="20"/>
              </w:rPr>
              <w:t>Schroders</w:t>
            </w:r>
            <w:proofErr w:type="spellEnd"/>
            <w:r w:rsidRPr="00DB1182">
              <w:rPr>
                <w:rFonts w:ascii="Times New Roman" w:eastAsia="Times New Roman" w:hAnsi="Times New Roman" w:cs="Times New Roman"/>
                <w:sz w:val="20"/>
                <w:szCs w:val="20"/>
              </w:rPr>
              <w:t xml:space="preserve"> Investment Management, </w:t>
            </w:r>
            <w:proofErr w:type="spellStart"/>
            <w:r w:rsidRPr="00DB1182">
              <w:rPr>
                <w:rFonts w:ascii="Times New Roman" w:eastAsia="Times New Roman" w:hAnsi="Times New Roman" w:cs="Times New Roman"/>
                <w:sz w:val="20"/>
                <w:szCs w:val="20"/>
              </w:rPr>
              <w:t>Cazenove</w:t>
            </w:r>
            <w:proofErr w:type="spellEnd"/>
            <w:r w:rsidRPr="00DB1182">
              <w:rPr>
                <w:rFonts w:ascii="Times New Roman" w:eastAsia="Times New Roman" w:hAnsi="Times New Roman" w:cs="Times New Roman"/>
                <w:sz w:val="20"/>
                <w:szCs w:val="20"/>
              </w:rPr>
              <w:t xml:space="preserve"> Capital and Rockefeller &amp; Co., as well as the leading pension funds in the U.S., the U.K., continental Europe and Scandinavia. </w:t>
            </w:r>
            <w:proofErr w:type="spellStart"/>
            <w:r w:rsidRPr="00DB1182">
              <w:rPr>
                <w:rFonts w:ascii="Times New Roman" w:eastAsia="Times New Roman" w:hAnsi="Times New Roman" w:cs="Times New Roman"/>
                <w:sz w:val="20"/>
                <w:szCs w:val="20"/>
              </w:rPr>
              <w:t>Innovest</w:t>
            </w:r>
            <w:proofErr w:type="spellEnd"/>
            <w:r w:rsidRPr="00DB1182">
              <w:rPr>
                <w:rFonts w:ascii="Times New Roman" w:eastAsia="Times New Roman" w:hAnsi="Times New Roman" w:cs="Times New Roman"/>
                <w:sz w:val="20"/>
                <w:szCs w:val="20"/>
              </w:rPr>
              <w:t xml:space="preserve"> currently has clients in over twenty countries.</w:t>
            </w:r>
          </w:p>
        </w:tc>
      </w:tr>
      <w:tr w:rsidR="00DB1182" w:rsidRPr="00DB1182" w:rsidTr="00DB1182">
        <w:trPr>
          <w:trHeight w:val="360"/>
          <w:tblCellSpacing w:w="15" w:type="dxa"/>
        </w:trPr>
        <w:tc>
          <w:tcPr>
            <w:tcW w:w="4968" w:type="pct"/>
            <w:vAlign w:val="center"/>
            <w:hideMark/>
          </w:tcPr>
          <w:p w:rsidR="00DB1182" w:rsidRPr="00DB1182" w:rsidRDefault="00DB1182" w:rsidP="00DB1182">
            <w:pPr>
              <w:spacing w:after="0" w:line="360" w:lineRule="atLeast"/>
              <w:rPr>
                <w:rFonts w:ascii="Times New Roman" w:eastAsia="Times New Roman" w:hAnsi="Times New Roman" w:cs="Times New Roman"/>
                <w:b/>
                <w:bCs/>
                <w:sz w:val="24"/>
                <w:szCs w:val="24"/>
                <w:u w:val="single"/>
              </w:rPr>
            </w:pPr>
            <w:r w:rsidRPr="00DB1182">
              <w:rPr>
                <w:rFonts w:ascii="Times New Roman" w:eastAsia="Times New Roman" w:hAnsi="Times New Roman" w:cs="Times New Roman"/>
                <w:b/>
                <w:bCs/>
                <w:sz w:val="24"/>
                <w:szCs w:val="24"/>
                <w:u w:val="single"/>
              </w:rPr>
              <w:t xml:space="preserve">Our Partners </w:t>
            </w:r>
          </w:p>
        </w:tc>
      </w:tr>
    </w:tbl>
    <w:p w:rsidR="00DB1182" w:rsidRPr="00DB1182" w:rsidRDefault="00DB1182" w:rsidP="00DB1182">
      <w:pPr>
        <w:spacing w:after="0" w:line="336" w:lineRule="auto"/>
        <w:rPr>
          <w:rFonts w:ascii="Times New Roman" w:eastAsia="Times New Roman" w:hAnsi="Times New Roman" w:cs="Times New Roman"/>
          <w:vanish/>
          <w:sz w:val="20"/>
          <w:szCs w:val="20"/>
        </w:rPr>
      </w:pPr>
    </w:p>
    <w:tbl>
      <w:tblPr>
        <w:tblW w:w="5000" w:type="pct"/>
        <w:tblCellSpacing w:w="15" w:type="dxa"/>
        <w:tblCellMar>
          <w:left w:w="0" w:type="dxa"/>
          <w:right w:w="0" w:type="dxa"/>
        </w:tblCellMar>
        <w:tblLook w:val="04A0"/>
      </w:tblPr>
      <w:tblGrid>
        <w:gridCol w:w="9420"/>
      </w:tblGrid>
      <w:tr w:rsidR="00DB1182" w:rsidRPr="00DB1182">
        <w:trPr>
          <w:tblCellSpacing w:w="15" w:type="dxa"/>
        </w:trPr>
        <w:tc>
          <w:tcPr>
            <w:tcW w:w="0" w:type="auto"/>
            <w:hideMark/>
          </w:tcPr>
          <w:p w:rsidR="00DB1182" w:rsidRPr="00DB1182" w:rsidRDefault="00DB1182" w:rsidP="00DB1182">
            <w:pPr>
              <w:spacing w:after="180"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Our diverse collection of international partners enables us to leverage resources and research around the world, from Governance Metrics International in New York, to Eco-Frontier in Korea, to Reuters and </w:t>
            </w:r>
            <w:proofErr w:type="spellStart"/>
            <w:r w:rsidRPr="00DB1182">
              <w:rPr>
                <w:rFonts w:ascii="Times New Roman" w:eastAsia="Times New Roman" w:hAnsi="Times New Roman" w:cs="Times New Roman"/>
                <w:sz w:val="20"/>
                <w:szCs w:val="20"/>
              </w:rPr>
              <w:t>CSRWire</w:t>
            </w:r>
            <w:proofErr w:type="spellEnd"/>
            <w:r w:rsidRPr="00DB1182">
              <w:rPr>
                <w:rFonts w:ascii="Times New Roman" w:eastAsia="Times New Roman" w:hAnsi="Times New Roman" w:cs="Times New Roman"/>
                <w:sz w:val="20"/>
                <w:szCs w:val="20"/>
              </w:rPr>
              <w:t xml:space="preserve">. Whether a non-profit or a fellow research </w:t>
            </w:r>
            <w:proofErr w:type="spellStart"/>
            <w:r w:rsidRPr="00DB1182">
              <w:rPr>
                <w:rFonts w:ascii="Times New Roman" w:eastAsia="Times New Roman" w:hAnsi="Times New Roman" w:cs="Times New Roman"/>
                <w:sz w:val="20"/>
                <w:szCs w:val="20"/>
              </w:rPr>
              <w:t>proivder</w:t>
            </w:r>
            <w:proofErr w:type="spellEnd"/>
            <w:r w:rsidRPr="00DB1182">
              <w:rPr>
                <w:rFonts w:ascii="Times New Roman" w:eastAsia="Times New Roman" w:hAnsi="Times New Roman" w:cs="Times New Roman"/>
                <w:sz w:val="20"/>
                <w:szCs w:val="20"/>
              </w:rPr>
              <w:t xml:space="preserve">, our partners enable us to expand the breadth and depth of our research and distribution. </w:t>
            </w:r>
          </w:p>
        </w:tc>
      </w:tr>
    </w:tbl>
    <w:p w:rsidR="00DB1182" w:rsidRPr="00DB1182" w:rsidRDefault="00DB1182" w:rsidP="00DB1182">
      <w:pPr>
        <w:pStyle w:val="NoSpacing"/>
        <w:rPr>
          <w:rFonts w:ascii="Times New Roman" w:hAnsi="Times New Roman" w:cs="Times New Roman"/>
          <w:sz w:val="20"/>
          <w:szCs w:val="20"/>
        </w:rPr>
      </w:pPr>
      <w:r w:rsidRPr="00DB1182">
        <w:rPr>
          <w:rFonts w:ascii="Times New Roman" w:hAnsi="Times New Roman" w:cs="Times New Roman"/>
          <w:sz w:val="20"/>
          <w:szCs w:val="20"/>
        </w:rPr>
        <w:t>-</w:t>
      </w:r>
      <w:proofErr w:type="spellStart"/>
      <w:r w:rsidRPr="00DB1182">
        <w:rPr>
          <w:rFonts w:ascii="Times New Roman" w:hAnsi="Times New Roman" w:cs="Times New Roman"/>
          <w:sz w:val="20"/>
          <w:szCs w:val="20"/>
        </w:rPr>
        <w:t>GovernanceMetrics</w:t>
      </w:r>
      <w:proofErr w:type="spellEnd"/>
      <w:r w:rsidRPr="00DB1182">
        <w:rPr>
          <w:rFonts w:ascii="Times New Roman" w:hAnsi="Times New Roman" w:cs="Times New Roman"/>
          <w:sz w:val="20"/>
          <w:szCs w:val="20"/>
        </w:rPr>
        <w:t xml:space="preserve"> International (GMI) is an independent research and ratings agency founded in 2000 to provide institutional investors an objective way of assessing corporate governance risk as well as governance leaders in their portfolios.  Covering 4,000 companies worldwide, including both developed and emerging markets, GMI’s rating system incorporates hundreds of data points across six broad categories of analysis: board accountability, financial disclosure and internal controls, executive compensation, shareholder rights, ownership base, takeover provisions, plus corporate behavior and social responsibility.</w:t>
      </w:r>
    </w:p>
    <w:p w:rsidR="00DB1182" w:rsidRPr="00DB1182" w:rsidRDefault="00DB1182" w:rsidP="00DB1182">
      <w:pPr>
        <w:pStyle w:val="NoSpacing"/>
        <w:rPr>
          <w:rFonts w:ascii="Times New Roman" w:hAnsi="Times New Roman" w:cs="Times New Roman"/>
          <w:sz w:val="20"/>
          <w:szCs w:val="20"/>
        </w:rPr>
      </w:pPr>
      <w:r w:rsidRPr="00DB1182">
        <w:rPr>
          <w:rFonts w:ascii="Times New Roman" w:hAnsi="Times New Roman" w:cs="Times New Roman"/>
          <w:sz w:val="20"/>
          <w:szCs w:val="20"/>
        </w:rPr>
        <w:t>-IFIS Japan is a financial information services vendor that has developed a document processing and information transmission solution business around the concept of integrating electronic and paper media for the key players in capital markets - listed companies, securities firms, and institutional investors.</w:t>
      </w:r>
    </w:p>
    <w:p w:rsidR="00DB1182" w:rsidRPr="00DB1182" w:rsidRDefault="00DB1182" w:rsidP="00DB1182">
      <w:pPr>
        <w:pStyle w:val="NoSpacing"/>
        <w:rPr>
          <w:rFonts w:ascii="Times New Roman" w:hAnsi="Times New Roman" w:cs="Times New Roman"/>
          <w:sz w:val="20"/>
          <w:szCs w:val="20"/>
        </w:rPr>
      </w:pPr>
      <w:r w:rsidRPr="00DB1182">
        <w:rPr>
          <w:rFonts w:ascii="Times New Roman" w:hAnsi="Times New Roman" w:cs="Times New Roman"/>
          <w:sz w:val="20"/>
          <w:szCs w:val="20"/>
        </w:rPr>
        <w:t>-</w:t>
      </w:r>
      <w:proofErr w:type="spellStart"/>
      <w:r w:rsidRPr="00DB1182">
        <w:rPr>
          <w:rFonts w:ascii="Times New Roman" w:hAnsi="Times New Roman" w:cs="Times New Roman"/>
          <w:sz w:val="20"/>
          <w:szCs w:val="20"/>
        </w:rPr>
        <w:t>Innovest</w:t>
      </w:r>
      <w:proofErr w:type="spellEnd"/>
      <w:r w:rsidRPr="00DB1182">
        <w:rPr>
          <w:rFonts w:ascii="Times New Roman" w:hAnsi="Times New Roman" w:cs="Times New Roman"/>
          <w:sz w:val="20"/>
          <w:szCs w:val="20"/>
        </w:rPr>
        <w:t xml:space="preserve"> partners with NTT Data's Ecology Express Team, an environmental information provider.</w:t>
      </w:r>
    </w:p>
    <w:p w:rsidR="00DB1182" w:rsidRPr="00DB1182" w:rsidRDefault="00DB1182" w:rsidP="00DB1182">
      <w:pPr>
        <w:pStyle w:val="NoSpacing"/>
        <w:rPr>
          <w:rFonts w:ascii="Times New Roman" w:hAnsi="Times New Roman" w:cs="Times New Roman"/>
          <w:sz w:val="20"/>
          <w:szCs w:val="20"/>
        </w:rPr>
      </w:pPr>
      <w:r w:rsidRPr="00DB1182">
        <w:rPr>
          <w:rFonts w:ascii="Times New Roman" w:hAnsi="Times New Roman" w:cs="Times New Roman"/>
          <w:sz w:val="20"/>
          <w:szCs w:val="20"/>
        </w:rPr>
        <w:t>-Based in Korea, Eco-Frontier is a unique sustainability research group.  Eco-Frontier's solutions have been provided to companies, financial institutions, localities, government, and international institutions in various forms of investment advice, information service, business development, brokerage, IT solutions as well as research and consulting.</w:t>
      </w:r>
    </w:p>
    <w:p w:rsidR="00DB1182" w:rsidRPr="00DB1182" w:rsidRDefault="00DB1182" w:rsidP="00DB1182">
      <w:pPr>
        <w:pStyle w:val="NoSpacing"/>
        <w:rPr>
          <w:rFonts w:ascii="Times New Roman" w:hAnsi="Times New Roman" w:cs="Times New Roman"/>
          <w:sz w:val="20"/>
          <w:szCs w:val="20"/>
        </w:rPr>
      </w:pPr>
      <w:r w:rsidRPr="00DB1182">
        <w:rPr>
          <w:rFonts w:ascii="Times New Roman" w:hAnsi="Times New Roman" w:cs="Times New Roman"/>
          <w:sz w:val="20"/>
          <w:szCs w:val="20"/>
        </w:rPr>
        <w:t>-</w:t>
      </w:r>
      <w:proofErr w:type="spellStart"/>
      <w:r w:rsidRPr="00DB1182">
        <w:rPr>
          <w:rFonts w:ascii="Times New Roman" w:hAnsi="Times New Roman" w:cs="Times New Roman"/>
          <w:sz w:val="20"/>
          <w:szCs w:val="20"/>
        </w:rPr>
        <w:t>CSRwire</w:t>
      </w:r>
      <w:proofErr w:type="spellEnd"/>
      <w:r w:rsidRPr="00DB1182">
        <w:rPr>
          <w:rFonts w:ascii="Times New Roman" w:hAnsi="Times New Roman" w:cs="Times New Roman"/>
          <w:sz w:val="20"/>
          <w:szCs w:val="20"/>
        </w:rPr>
        <w:t xml:space="preserve"> is the leading source of corporate social responsibility and sustainability, press releases, reports and information. </w:t>
      </w:r>
      <w:proofErr w:type="spellStart"/>
      <w:r w:rsidRPr="00DB1182">
        <w:rPr>
          <w:rFonts w:ascii="Times New Roman" w:hAnsi="Times New Roman" w:cs="Times New Roman"/>
          <w:sz w:val="20"/>
          <w:szCs w:val="20"/>
        </w:rPr>
        <w:t>CSRwire</w:t>
      </w:r>
      <w:proofErr w:type="spellEnd"/>
      <w:r w:rsidRPr="00DB1182">
        <w:rPr>
          <w:rFonts w:ascii="Times New Roman" w:hAnsi="Times New Roman" w:cs="Times New Roman"/>
          <w:sz w:val="20"/>
          <w:szCs w:val="20"/>
        </w:rPr>
        <w:t xml:space="preserve"> members are companies and NGOs, agencies and organizations interested in communicating their corporate citizenship, sustainability, and socially responsible initiatives to a global audience through </w:t>
      </w:r>
      <w:proofErr w:type="spellStart"/>
      <w:r w:rsidRPr="00DB1182">
        <w:rPr>
          <w:rFonts w:ascii="Times New Roman" w:hAnsi="Times New Roman" w:cs="Times New Roman"/>
          <w:sz w:val="20"/>
          <w:szCs w:val="20"/>
        </w:rPr>
        <w:t>CSRwire's</w:t>
      </w:r>
      <w:proofErr w:type="spellEnd"/>
      <w:r w:rsidRPr="00DB1182">
        <w:rPr>
          <w:rFonts w:ascii="Times New Roman" w:hAnsi="Times New Roman" w:cs="Times New Roman"/>
          <w:sz w:val="20"/>
          <w:szCs w:val="20"/>
        </w:rPr>
        <w:t xml:space="preserve"> syndication network and weekly News Alerts.</w:t>
      </w:r>
    </w:p>
    <w:p w:rsidR="00DB1182" w:rsidRPr="00DB1182" w:rsidRDefault="00DB1182" w:rsidP="00DB1182">
      <w:pPr>
        <w:pStyle w:val="NoSpacing"/>
        <w:rPr>
          <w:rFonts w:ascii="Times New Roman" w:hAnsi="Times New Roman" w:cs="Times New Roman"/>
          <w:sz w:val="20"/>
          <w:szCs w:val="20"/>
        </w:rPr>
      </w:pPr>
      <w:r w:rsidRPr="00DB1182">
        <w:rPr>
          <w:rFonts w:ascii="Times New Roman" w:hAnsi="Times New Roman" w:cs="Times New Roman"/>
          <w:sz w:val="20"/>
          <w:szCs w:val="20"/>
        </w:rPr>
        <w:lastRenderedPageBreak/>
        <w:t>-Reuters is a global information company providing indispensable information tailored for professionals in the financial services, media and corporate markets. Our information is trusted and drives decision making across the globe. We have a reputation for speed, accuracy and freedom from bias.</w:t>
      </w:r>
    </w:p>
    <w:p w:rsidR="00DB1182" w:rsidRPr="00DB1182" w:rsidRDefault="00DB1182" w:rsidP="00DB1182">
      <w:pPr>
        <w:pStyle w:val="NoSpacing"/>
        <w:rPr>
          <w:rStyle w:val="contenttext"/>
          <w:rFonts w:ascii="Times New Roman" w:hAnsi="Times New Roman" w:cs="Times New Roman"/>
          <w:sz w:val="20"/>
          <w:szCs w:val="20"/>
        </w:rPr>
      </w:pPr>
      <w:r w:rsidRPr="00DB1182">
        <w:rPr>
          <w:rFonts w:ascii="Times New Roman" w:hAnsi="Times New Roman" w:cs="Times New Roman"/>
          <w:sz w:val="20"/>
          <w:szCs w:val="20"/>
        </w:rPr>
        <w:t>-</w:t>
      </w:r>
      <w:r w:rsidRPr="00DB1182">
        <w:rPr>
          <w:rStyle w:val="contenttext"/>
          <w:rFonts w:ascii="Times New Roman" w:hAnsi="Times New Roman" w:cs="Times New Roman"/>
          <w:sz w:val="20"/>
          <w:szCs w:val="20"/>
        </w:rPr>
        <w:t xml:space="preserve">The Carbon Disclosure Project (CDP) provides a secretariat for the world's largest institutional investor collaboration on the business implications of climate change. </w:t>
      </w:r>
      <w:proofErr w:type="spellStart"/>
      <w:r w:rsidRPr="00DB1182">
        <w:rPr>
          <w:rStyle w:val="contenttext"/>
          <w:rFonts w:ascii="Times New Roman" w:hAnsi="Times New Roman" w:cs="Times New Roman"/>
          <w:sz w:val="20"/>
          <w:szCs w:val="20"/>
        </w:rPr>
        <w:t>Innovest</w:t>
      </w:r>
      <w:proofErr w:type="spellEnd"/>
      <w:r w:rsidRPr="00DB1182">
        <w:rPr>
          <w:rStyle w:val="contenttext"/>
          <w:rFonts w:ascii="Times New Roman" w:hAnsi="Times New Roman" w:cs="Times New Roman"/>
          <w:sz w:val="20"/>
          <w:szCs w:val="20"/>
        </w:rPr>
        <w:t xml:space="preserve"> has been selected to undertake the research and analysis of the Global Report, which is now backed by institutional investors with $31.5 trillion assets under management, since its inception.</w:t>
      </w:r>
    </w:p>
    <w:p w:rsidR="00DB1182" w:rsidRPr="00DB1182" w:rsidRDefault="00DB1182" w:rsidP="00DB1182">
      <w:pPr>
        <w:pStyle w:val="NoSpacing"/>
        <w:rPr>
          <w:rFonts w:ascii="Times New Roman" w:hAnsi="Times New Roman" w:cs="Times New Roman"/>
          <w:sz w:val="20"/>
          <w:szCs w:val="20"/>
        </w:rPr>
      </w:pPr>
      <w:r w:rsidRPr="00DB1182">
        <w:rPr>
          <w:rStyle w:val="contenttext"/>
          <w:rFonts w:ascii="Times New Roman" w:hAnsi="Times New Roman" w:cs="Times New Roman"/>
          <w:sz w:val="20"/>
          <w:szCs w:val="20"/>
        </w:rPr>
        <w:t>-</w:t>
      </w:r>
      <w:r w:rsidRPr="00DB1182">
        <w:rPr>
          <w:rFonts w:ascii="Times New Roman" w:hAnsi="Times New Roman" w:cs="Times New Roman"/>
          <w:sz w:val="20"/>
          <w:szCs w:val="20"/>
        </w:rPr>
        <w:t>UNEP FI is a global partnership between UNEP and the financial sector. Over 160 institutions including banks, insurers and fund managers, work with UNEP to understand the impacts of environmental and social considerations on financial performance.</w:t>
      </w:r>
    </w:p>
    <w:p w:rsidR="00DB1182" w:rsidRPr="00DB1182" w:rsidRDefault="00DB1182" w:rsidP="00DB1182">
      <w:pPr>
        <w:pStyle w:val="NoSpacing"/>
        <w:rPr>
          <w:rFonts w:ascii="Times New Roman" w:hAnsi="Times New Roman" w:cs="Times New Roman"/>
          <w:sz w:val="20"/>
          <w:szCs w:val="20"/>
        </w:rPr>
      </w:pPr>
    </w:p>
    <w:tbl>
      <w:tblPr>
        <w:tblW w:w="5000" w:type="pct"/>
        <w:tblCellSpacing w:w="15" w:type="dxa"/>
        <w:tblCellMar>
          <w:left w:w="0" w:type="dxa"/>
          <w:right w:w="0" w:type="dxa"/>
        </w:tblCellMar>
        <w:tblLook w:val="04A0"/>
      </w:tblPr>
      <w:tblGrid>
        <w:gridCol w:w="9420"/>
      </w:tblGrid>
      <w:tr w:rsidR="00DB1182" w:rsidRPr="00DB1182">
        <w:trPr>
          <w:trHeight w:val="360"/>
          <w:tblCellSpacing w:w="15" w:type="dxa"/>
        </w:trPr>
        <w:tc>
          <w:tcPr>
            <w:tcW w:w="5000" w:type="pct"/>
            <w:vAlign w:val="center"/>
            <w:hideMark/>
          </w:tcPr>
          <w:p w:rsidR="00DB1182" w:rsidRPr="00DB1182" w:rsidRDefault="00DB1182" w:rsidP="00DB1182">
            <w:pPr>
              <w:spacing w:after="0" w:line="360" w:lineRule="atLeast"/>
              <w:rPr>
                <w:rFonts w:ascii="Times New Roman" w:eastAsia="Times New Roman" w:hAnsi="Times New Roman" w:cs="Times New Roman"/>
                <w:b/>
                <w:bCs/>
                <w:sz w:val="24"/>
                <w:szCs w:val="24"/>
                <w:u w:val="single"/>
              </w:rPr>
            </w:pPr>
            <w:r w:rsidRPr="00DB1182">
              <w:rPr>
                <w:rFonts w:ascii="Times New Roman" w:eastAsia="Times New Roman" w:hAnsi="Times New Roman" w:cs="Times New Roman"/>
                <w:b/>
                <w:bCs/>
                <w:sz w:val="24"/>
                <w:szCs w:val="24"/>
                <w:u w:val="single"/>
              </w:rPr>
              <w:t xml:space="preserve">Our Approach </w:t>
            </w:r>
          </w:p>
        </w:tc>
      </w:tr>
    </w:tbl>
    <w:p w:rsidR="00DB1182" w:rsidRPr="00DB1182" w:rsidRDefault="00DB1182" w:rsidP="00DB1182">
      <w:pPr>
        <w:spacing w:after="0" w:line="336" w:lineRule="auto"/>
        <w:rPr>
          <w:rFonts w:ascii="Times New Roman" w:eastAsia="Times New Roman" w:hAnsi="Times New Roman" w:cs="Times New Roman"/>
          <w:vanish/>
          <w:sz w:val="20"/>
          <w:szCs w:val="20"/>
        </w:rPr>
      </w:pPr>
    </w:p>
    <w:tbl>
      <w:tblPr>
        <w:tblW w:w="5000" w:type="pct"/>
        <w:tblCellSpacing w:w="15" w:type="dxa"/>
        <w:tblCellMar>
          <w:left w:w="0" w:type="dxa"/>
          <w:right w:w="0" w:type="dxa"/>
        </w:tblCellMar>
        <w:tblLook w:val="04A0"/>
      </w:tblPr>
      <w:tblGrid>
        <w:gridCol w:w="9420"/>
      </w:tblGrid>
      <w:tr w:rsidR="00DB1182" w:rsidRPr="00DB1182">
        <w:trPr>
          <w:tblCellSpacing w:w="15" w:type="dxa"/>
        </w:trPr>
        <w:tc>
          <w:tcPr>
            <w:tcW w:w="0" w:type="auto"/>
            <w:hideMark/>
          </w:tcPr>
          <w:p w:rsidR="00DB1182" w:rsidRPr="00DB1182" w:rsidRDefault="00DB1182" w:rsidP="00DB1182">
            <w:pPr>
              <w:spacing w:after="180"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bCs/>
                <w:sz w:val="20"/>
                <w:szCs w:val="20"/>
              </w:rPr>
              <w:t xml:space="preserve">At </w:t>
            </w:r>
            <w:proofErr w:type="spellStart"/>
            <w:r w:rsidRPr="00DB1182">
              <w:rPr>
                <w:rFonts w:ascii="Times New Roman" w:eastAsia="Times New Roman" w:hAnsi="Times New Roman" w:cs="Times New Roman"/>
                <w:bCs/>
                <w:sz w:val="20"/>
                <w:szCs w:val="20"/>
              </w:rPr>
              <w:t>Innovest</w:t>
            </w:r>
            <w:proofErr w:type="spellEnd"/>
            <w:r w:rsidRPr="00DB1182">
              <w:rPr>
                <w:rFonts w:ascii="Times New Roman" w:eastAsia="Times New Roman" w:hAnsi="Times New Roman" w:cs="Times New Roman"/>
                <w:bCs/>
                <w:sz w:val="20"/>
                <w:szCs w:val="20"/>
              </w:rPr>
              <w:t>, we think about investing a bit differently.</w:t>
            </w:r>
            <w:r w:rsidRPr="00DB1182">
              <w:rPr>
                <w:rFonts w:ascii="Times New Roman" w:eastAsia="Times New Roman" w:hAnsi="Times New Roman" w:cs="Times New Roman"/>
                <w:sz w:val="20"/>
                <w:szCs w:val="20"/>
              </w:rPr>
              <w:t xml:space="preserve">  For us, companies’ ability to handle political, environmental, </w:t>
            </w:r>
            <w:proofErr w:type="spellStart"/>
            <w:r w:rsidRPr="00DB1182">
              <w:rPr>
                <w:rFonts w:ascii="Times New Roman" w:eastAsia="Times New Roman" w:hAnsi="Times New Roman" w:cs="Times New Roman"/>
                <w:sz w:val="20"/>
                <w:szCs w:val="20"/>
              </w:rPr>
              <w:t>labour</w:t>
            </w:r>
            <w:proofErr w:type="spellEnd"/>
            <w:r w:rsidRPr="00DB1182">
              <w:rPr>
                <w:rFonts w:ascii="Times New Roman" w:eastAsia="Times New Roman" w:hAnsi="Times New Roman" w:cs="Times New Roman"/>
                <w:sz w:val="20"/>
                <w:szCs w:val="20"/>
              </w:rPr>
              <w:t>, and human rights risks are powerful proxies and leading indicators for their overall management quality – or the lack thereof.</w:t>
            </w:r>
          </w:p>
          <w:p w:rsidR="00DB1182" w:rsidRPr="00DB1182" w:rsidRDefault="00DB1182" w:rsidP="00DB1182">
            <w:pPr>
              <w:pStyle w:val="ListParagraph"/>
              <w:numPr>
                <w:ilvl w:val="0"/>
                <w:numId w:val="7"/>
              </w:numPr>
              <w:spacing w:before="100" w:beforeAutospacing="1" w:after="100" w:afterAutospacing="1"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“Extra-financial” risks and value drivers are among the most powerful – but least recognized – catalysts for significant changes in companies’ competitive positions. </w:t>
            </w:r>
          </w:p>
          <w:p w:rsidR="00DB1182" w:rsidRPr="00DB1182" w:rsidRDefault="00DB1182" w:rsidP="00DB1182">
            <w:pPr>
              <w:pStyle w:val="ListParagraph"/>
              <w:numPr>
                <w:ilvl w:val="0"/>
                <w:numId w:val="7"/>
              </w:numPr>
              <w:spacing w:before="100" w:beforeAutospacing="1" w:after="100" w:afterAutospacing="1"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Changes in investor convictions and expectations trigger stock price changes.  Exploitable sources of excess return generally arise from consensus errors in estimating growth and valuation changes. </w:t>
            </w:r>
          </w:p>
          <w:p w:rsidR="00DB1182" w:rsidRPr="00DB1182" w:rsidRDefault="00DB1182" w:rsidP="00DB1182">
            <w:pPr>
              <w:pStyle w:val="ListParagraph"/>
              <w:numPr>
                <w:ilvl w:val="0"/>
                <w:numId w:val="7"/>
              </w:numPr>
              <w:spacing w:before="100" w:beforeAutospacing="1" w:after="100" w:afterAutospacing="1"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Generating superior returns requires accurately anticipating changes in companies’ competitive prospects before the broader market recognizes them.</w:t>
            </w:r>
          </w:p>
          <w:p w:rsidR="00DB1182" w:rsidRPr="00DB1182" w:rsidRDefault="00DB1182" w:rsidP="00DB1182">
            <w:pPr>
              <w:pStyle w:val="ListParagraph"/>
              <w:numPr>
                <w:ilvl w:val="0"/>
                <w:numId w:val="7"/>
              </w:numPr>
              <w:spacing w:before="100" w:beforeAutospacing="1" w:after="100" w:afterAutospacing="1"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Comprehensive, sophisticated, institutional-quality “extra-financial” research is extremely rare.  Investors with timely access to it possess a powerful information advantage, which can be </w:t>
            </w:r>
            <w:proofErr w:type="spellStart"/>
            <w:r w:rsidRPr="00DB1182">
              <w:rPr>
                <w:rFonts w:ascii="Times New Roman" w:eastAsia="Times New Roman" w:hAnsi="Times New Roman" w:cs="Times New Roman"/>
                <w:sz w:val="20"/>
                <w:szCs w:val="20"/>
              </w:rPr>
              <w:t>monitized</w:t>
            </w:r>
            <w:proofErr w:type="spellEnd"/>
            <w:r w:rsidRPr="00DB1182">
              <w:rPr>
                <w:rFonts w:ascii="Times New Roman" w:eastAsia="Times New Roman" w:hAnsi="Times New Roman" w:cs="Times New Roman"/>
                <w:sz w:val="20"/>
                <w:szCs w:val="20"/>
              </w:rPr>
              <w:t>.</w:t>
            </w:r>
          </w:p>
          <w:p w:rsidR="00DB1182" w:rsidRPr="00DB1182" w:rsidRDefault="00DB1182" w:rsidP="00DB1182">
            <w:pPr>
              <w:pStyle w:val="ListParagraph"/>
              <w:numPr>
                <w:ilvl w:val="0"/>
                <w:numId w:val="7"/>
              </w:numPr>
              <w:spacing w:before="100" w:beforeAutospacing="1" w:after="100" w:afterAutospacing="1"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We believe that optimal investment results require combining robust “extra-financial” analysis with more traditional fundamental, quantitative, and qualitative approaches.</w:t>
            </w:r>
          </w:p>
          <w:p w:rsidR="00DB1182" w:rsidRPr="00DB1182" w:rsidRDefault="00DB1182" w:rsidP="00DB1182">
            <w:pPr>
              <w:pStyle w:val="ListParagraph"/>
              <w:numPr>
                <w:ilvl w:val="0"/>
                <w:numId w:val="7"/>
              </w:numPr>
              <w:spacing w:before="100" w:beforeAutospacing="1" w:after="100" w:afterAutospacing="1"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We do not screen out entire industry sectors, unless specifically instructed by clients to do so.  Our “screens” are generally positive ones, and seek out sources of value-creation, risk reduction, and competitive advantage in companies.</w:t>
            </w:r>
          </w:p>
          <w:p w:rsidR="00DB1182" w:rsidRPr="00DB1182" w:rsidRDefault="00DB1182" w:rsidP="00DB1182">
            <w:pPr>
              <w:spacing w:after="180"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The more you know about your investments, the more you can mitigate risk and maximize opportunity.  Find out what else there is to know about your investments - with </w:t>
            </w:r>
            <w:proofErr w:type="spellStart"/>
            <w:r w:rsidRPr="00DB1182">
              <w:rPr>
                <w:rFonts w:ascii="Times New Roman" w:eastAsia="Times New Roman" w:hAnsi="Times New Roman" w:cs="Times New Roman"/>
                <w:sz w:val="20"/>
                <w:szCs w:val="20"/>
              </w:rPr>
              <w:t>Innovest</w:t>
            </w:r>
            <w:proofErr w:type="spellEnd"/>
            <w:r w:rsidRPr="00DB1182">
              <w:rPr>
                <w:rFonts w:ascii="Times New Roman" w:eastAsia="Times New Roman" w:hAnsi="Times New Roman" w:cs="Times New Roman"/>
                <w:sz w:val="20"/>
                <w:szCs w:val="20"/>
              </w:rPr>
              <w:t>.</w:t>
            </w:r>
          </w:p>
        </w:tc>
      </w:tr>
      <w:tr w:rsidR="00DB1182" w:rsidRPr="00DB1182" w:rsidTr="00DB1182">
        <w:trPr>
          <w:trHeight w:val="360"/>
          <w:tblCellSpacing w:w="15" w:type="dxa"/>
        </w:trPr>
        <w:tc>
          <w:tcPr>
            <w:tcW w:w="4968" w:type="pct"/>
            <w:vAlign w:val="center"/>
            <w:hideMark/>
          </w:tcPr>
          <w:p w:rsidR="00DB1182" w:rsidRPr="00DB1182" w:rsidRDefault="00DB1182" w:rsidP="00DB1182">
            <w:pPr>
              <w:spacing w:after="0" w:line="360" w:lineRule="atLeast"/>
              <w:rPr>
                <w:rFonts w:ascii="Times New Roman" w:eastAsia="Times New Roman" w:hAnsi="Times New Roman" w:cs="Times New Roman"/>
                <w:b/>
                <w:bCs/>
                <w:sz w:val="24"/>
                <w:szCs w:val="24"/>
                <w:u w:val="single"/>
              </w:rPr>
            </w:pPr>
            <w:r w:rsidRPr="00DB1182">
              <w:rPr>
                <w:rFonts w:ascii="Times New Roman" w:eastAsia="Times New Roman" w:hAnsi="Times New Roman" w:cs="Times New Roman"/>
                <w:b/>
                <w:bCs/>
                <w:sz w:val="24"/>
                <w:szCs w:val="24"/>
                <w:u w:val="single"/>
              </w:rPr>
              <w:t xml:space="preserve">Our Differentiators </w:t>
            </w:r>
          </w:p>
        </w:tc>
      </w:tr>
    </w:tbl>
    <w:p w:rsidR="00DB1182" w:rsidRPr="00DB1182" w:rsidRDefault="00DB1182" w:rsidP="00DB1182">
      <w:pPr>
        <w:spacing w:after="0" w:line="336" w:lineRule="auto"/>
        <w:rPr>
          <w:rFonts w:ascii="Times New Roman" w:eastAsia="Times New Roman" w:hAnsi="Times New Roman" w:cs="Times New Roman"/>
          <w:vanish/>
          <w:sz w:val="20"/>
          <w:szCs w:val="20"/>
        </w:rPr>
      </w:pPr>
    </w:p>
    <w:tbl>
      <w:tblPr>
        <w:tblW w:w="5000" w:type="pct"/>
        <w:tblCellSpacing w:w="15" w:type="dxa"/>
        <w:tblCellMar>
          <w:left w:w="0" w:type="dxa"/>
          <w:right w:w="0" w:type="dxa"/>
        </w:tblCellMar>
        <w:tblLook w:val="04A0"/>
      </w:tblPr>
      <w:tblGrid>
        <w:gridCol w:w="9420"/>
      </w:tblGrid>
      <w:tr w:rsidR="00DB1182" w:rsidRPr="00DB1182">
        <w:trPr>
          <w:tblCellSpacing w:w="15" w:type="dxa"/>
        </w:trPr>
        <w:tc>
          <w:tcPr>
            <w:tcW w:w="0" w:type="auto"/>
            <w:hideMark/>
          </w:tcPr>
          <w:p w:rsidR="00DB1182" w:rsidRPr="00DB1182" w:rsidRDefault="00DB1182" w:rsidP="00DB1182">
            <w:pPr>
              <w:spacing w:after="0"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Quantifying Intangibles can be a tricky business.  At </w:t>
            </w:r>
            <w:proofErr w:type="spellStart"/>
            <w:r w:rsidRPr="00DB1182">
              <w:rPr>
                <w:rFonts w:ascii="Times New Roman" w:eastAsia="Times New Roman" w:hAnsi="Times New Roman" w:cs="Times New Roman"/>
                <w:sz w:val="20"/>
                <w:szCs w:val="20"/>
              </w:rPr>
              <w:t>Innovest</w:t>
            </w:r>
            <w:proofErr w:type="spellEnd"/>
            <w:r w:rsidRPr="00DB1182">
              <w:rPr>
                <w:rFonts w:ascii="Times New Roman" w:eastAsia="Times New Roman" w:hAnsi="Times New Roman" w:cs="Times New Roman"/>
                <w:sz w:val="20"/>
                <w:szCs w:val="20"/>
              </w:rPr>
              <w:t xml:space="preserve">, a few of our key competitive advantages help us remain on the cutting edge.  </w:t>
            </w:r>
          </w:p>
          <w:p w:rsidR="00DB1182" w:rsidRPr="00DB1182" w:rsidRDefault="00DB1182" w:rsidP="00DB1182">
            <w:pPr>
              <w:spacing w:after="180"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  </w:t>
            </w:r>
          </w:p>
          <w:p w:rsidR="00DB1182" w:rsidRPr="00DB1182" w:rsidRDefault="00DB1182" w:rsidP="00DB1182">
            <w:pPr>
              <w:spacing w:after="180"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b/>
                <w:bCs/>
                <w:sz w:val="20"/>
                <w:szCs w:val="20"/>
              </w:rPr>
              <w:t>#1 Global Brand</w:t>
            </w:r>
            <w:r w:rsidRPr="00DB1182">
              <w:rPr>
                <w:rFonts w:ascii="Times New Roman" w:eastAsia="Times New Roman" w:hAnsi="Times New Roman" w:cs="Times New Roman"/>
                <w:sz w:val="20"/>
                <w:szCs w:val="20"/>
              </w:rPr>
              <w:t xml:space="preserve"> </w:t>
            </w:r>
          </w:p>
          <w:p w:rsidR="00DB1182" w:rsidRPr="00DB1182" w:rsidRDefault="00DB1182" w:rsidP="00DB1182">
            <w:pPr>
              <w:spacing w:after="180" w:line="336" w:lineRule="auto"/>
              <w:rPr>
                <w:rFonts w:ascii="Times New Roman" w:eastAsia="Times New Roman" w:hAnsi="Times New Roman" w:cs="Times New Roman"/>
                <w:sz w:val="20"/>
                <w:szCs w:val="20"/>
              </w:rPr>
            </w:pPr>
            <w:proofErr w:type="spellStart"/>
            <w:r w:rsidRPr="00DB1182">
              <w:rPr>
                <w:rFonts w:ascii="Times New Roman" w:eastAsia="Times New Roman" w:hAnsi="Times New Roman" w:cs="Times New Roman"/>
                <w:sz w:val="20"/>
                <w:szCs w:val="20"/>
              </w:rPr>
              <w:t>Innovest</w:t>
            </w:r>
            <w:proofErr w:type="spellEnd"/>
            <w:r w:rsidRPr="00DB1182">
              <w:rPr>
                <w:rFonts w:ascii="Times New Roman" w:eastAsia="Times New Roman" w:hAnsi="Times New Roman" w:cs="Times New Roman"/>
                <w:sz w:val="20"/>
                <w:szCs w:val="20"/>
              </w:rPr>
              <w:t xml:space="preserve"> rated #1 global provider of “extra-financial” research in the 2006 Thomson </w:t>
            </w:r>
            <w:proofErr w:type="spellStart"/>
            <w:r w:rsidRPr="00DB1182">
              <w:rPr>
                <w:rFonts w:ascii="Times New Roman" w:eastAsia="Times New Roman" w:hAnsi="Times New Roman" w:cs="Times New Roman"/>
                <w:sz w:val="20"/>
                <w:szCs w:val="20"/>
              </w:rPr>
              <w:t>Extel</w:t>
            </w:r>
            <w:proofErr w:type="spellEnd"/>
            <w:r w:rsidRPr="00DB1182">
              <w:rPr>
                <w:rFonts w:ascii="Times New Roman" w:eastAsia="Times New Roman" w:hAnsi="Times New Roman" w:cs="Times New Roman"/>
                <w:sz w:val="20"/>
                <w:szCs w:val="20"/>
              </w:rPr>
              <w:t xml:space="preserve"> survey of institutional investors </w:t>
            </w:r>
          </w:p>
          <w:p w:rsidR="00DB1182" w:rsidRPr="00DB1182" w:rsidRDefault="00DB1182" w:rsidP="00DB1182">
            <w:pPr>
              <w:spacing w:after="180"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b/>
                <w:bCs/>
                <w:sz w:val="20"/>
                <w:szCs w:val="20"/>
              </w:rPr>
              <w:lastRenderedPageBreak/>
              <w:t>Focus on Investment Risk and Alpha Generation</w:t>
            </w:r>
            <w:r w:rsidRPr="00DB1182">
              <w:rPr>
                <w:rFonts w:ascii="Times New Roman" w:eastAsia="Times New Roman" w:hAnsi="Times New Roman" w:cs="Times New Roman"/>
                <w:sz w:val="20"/>
                <w:szCs w:val="20"/>
              </w:rPr>
              <w:t xml:space="preserve"> </w:t>
            </w:r>
          </w:p>
          <w:p w:rsidR="00DB1182" w:rsidRPr="00DB1182" w:rsidRDefault="00DB1182" w:rsidP="00DB1182">
            <w:pPr>
              <w:numPr>
                <w:ilvl w:val="1"/>
                <w:numId w:val="9"/>
              </w:numPr>
              <w:spacing w:before="100" w:beforeAutospacing="1" w:after="100" w:afterAutospacing="1" w:line="336" w:lineRule="auto"/>
              <w:ind w:left="0"/>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Performance on “extra-financial” issues, including environmental, social, and governance performance, is viewed as a potential source of risk or competitive advantage, not as a basis for moral </w:t>
            </w:r>
            <w:proofErr w:type="spellStart"/>
            <w:r w:rsidRPr="00DB1182">
              <w:rPr>
                <w:rFonts w:ascii="Times New Roman" w:eastAsia="Times New Roman" w:hAnsi="Times New Roman" w:cs="Times New Roman"/>
                <w:sz w:val="20"/>
                <w:szCs w:val="20"/>
              </w:rPr>
              <w:t>judgements</w:t>
            </w:r>
            <w:proofErr w:type="spellEnd"/>
            <w:r w:rsidRPr="00DB1182">
              <w:rPr>
                <w:rFonts w:ascii="Times New Roman" w:eastAsia="Times New Roman" w:hAnsi="Times New Roman" w:cs="Times New Roman"/>
                <w:sz w:val="20"/>
                <w:szCs w:val="20"/>
              </w:rPr>
              <w:t xml:space="preserve">. </w:t>
            </w:r>
          </w:p>
          <w:p w:rsidR="00DB1182" w:rsidRPr="00DB1182" w:rsidRDefault="00DB1182" w:rsidP="00DB1182">
            <w:pPr>
              <w:numPr>
                <w:ilvl w:val="1"/>
                <w:numId w:val="9"/>
              </w:numPr>
              <w:spacing w:before="100" w:beforeAutospacing="1" w:after="100" w:afterAutospacing="1" w:line="336" w:lineRule="auto"/>
              <w:ind w:left="0"/>
              <w:rPr>
                <w:rFonts w:ascii="Times New Roman" w:eastAsia="Times New Roman" w:hAnsi="Times New Roman" w:cs="Times New Roman"/>
                <w:sz w:val="20"/>
                <w:szCs w:val="20"/>
              </w:rPr>
            </w:pPr>
            <w:proofErr w:type="spellStart"/>
            <w:r w:rsidRPr="00DB1182">
              <w:rPr>
                <w:rFonts w:ascii="Times New Roman" w:eastAsia="Times New Roman" w:hAnsi="Times New Roman" w:cs="Times New Roman"/>
                <w:sz w:val="20"/>
                <w:szCs w:val="20"/>
              </w:rPr>
              <w:t>Innovest</w:t>
            </w:r>
            <w:proofErr w:type="spellEnd"/>
            <w:r w:rsidRPr="00DB1182">
              <w:rPr>
                <w:rFonts w:ascii="Times New Roman" w:eastAsia="Times New Roman" w:hAnsi="Times New Roman" w:cs="Times New Roman"/>
                <w:sz w:val="20"/>
                <w:szCs w:val="20"/>
              </w:rPr>
              <w:t xml:space="preserve"> alphas largely non-correlated to traditional investment factors (.04%)  </w:t>
            </w:r>
          </w:p>
          <w:p w:rsidR="00DB1182" w:rsidRPr="00DB1182" w:rsidRDefault="00DB1182" w:rsidP="00DB1182">
            <w:pPr>
              <w:spacing w:after="180"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b/>
                <w:bCs/>
                <w:sz w:val="20"/>
                <w:szCs w:val="20"/>
              </w:rPr>
              <w:t>Credibility with Institutional Investors</w:t>
            </w:r>
            <w:r w:rsidRPr="00DB1182">
              <w:rPr>
                <w:rFonts w:ascii="Times New Roman" w:eastAsia="Times New Roman" w:hAnsi="Times New Roman" w:cs="Times New Roman"/>
                <w:sz w:val="20"/>
                <w:szCs w:val="20"/>
              </w:rPr>
              <w:t xml:space="preserve"> </w:t>
            </w:r>
          </w:p>
          <w:p w:rsidR="00DB1182" w:rsidRPr="00DB1182" w:rsidRDefault="00DB1182" w:rsidP="00DB1182">
            <w:pPr>
              <w:numPr>
                <w:ilvl w:val="1"/>
                <w:numId w:val="10"/>
              </w:numPr>
              <w:spacing w:before="100" w:beforeAutospacing="1" w:after="100" w:afterAutospacing="1" w:line="336" w:lineRule="auto"/>
              <w:ind w:left="0"/>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Largest outside investor is ABP, 2nd largest pension fund in the world </w:t>
            </w:r>
          </w:p>
          <w:p w:rsidR="00DB1182" w:rsidRPr="00DB1182" w:rsidRDefault="00DB1182" w:rsidP="00DB1182">
            <w:pPr>
              <w:numPr>
                <w:ilvl w:val="1"/>
                <w:numId w:val="10"/>
              </w:numPr>
              <w:spacing w:before="100" w:beforeAutospacing="1" w:after="100" w:afterAutospacing="1" w:line="336" w:lineRule="auto"/>
              <w:ind w:left="0"/>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World-class institutional clients on 4 continents – </w:t>
            </w:r>
            <w:proofErr w:type="spellStart"/>
            <w:r w:rsidRPr="00DB1182">
              <w:rPr>
                <w:rFonts w:ascii="Times New Roman" w:eastAsia="Times New Roman" w:hAnsi="Times New Roman" w:cs="Times New Roman"/>
                <w:sz w:val="20"/>
                <w:szCs w:val="20"/>
              </w:rPr>
              <w:t>CalPERS</w:t>
            </w:r>
            <w:proofErr w:type="spellEnd"/>
            <w:r w:rsidRPr="00DB1182">
              <w:rPr>
                <w:rFonts w:ascii="Times New Roman" w:eastAsia="Times New Roman" w:hAnsi="Times New Roman" w:cs="Times New Roman"/>
                <w:sz w:val="20"/>
                <w:szCs w:val="20"/>
              </w:rPr>
              <w:t xml:space="preserve"> (US), Hermes (UK), Geneva Teachers (Switzerland), New Zealand Government Pension Fund, etc. </w:t>
            </w:r>
          </w:p>
          <w:p w:rsidR="00DB1182" w:rsidRPr="00DB1182" w:rsidRDefault="00DB1182" w:rsidP="00DB1182">
            <w:pPr>
              <w:numPr>
                <w:ilvl w:val="1"/>
                <w:numId w:val="10"/>
              </w:numPr>
              <w:spacing w:before="100" w:beforeAutospacing="1" w:after="100" w:afterAutospacing="1" w:line="336" w:lineRule="auto"/>
              <w:ind w:left="0"/>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Over $1.3 billion in sub-advisory asset management mandates </w:t>
            </w:r>
          </w:p>
          <w:p w:rsidR="00DB1182" w:rsidRPr="00DB1182" w:rsidRDefault="00DB1182" w:rsidP="00DB1182">
            <w:pPr>
              <w:spacing w:after="180"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b/>
                <w:bCs/>
                <w:sz w:val="20"/>
                <w:szCs w:val="20"/>
              </w:rPr>
              <w:t>Size, Quality, and Financial Sophistication of Analyst Team</w:t>
            </w:r>
            <w:r w:rsidRPr="00DB1182">
              <w:rPr>
                <w:rFonts w:ascii="Times New Roman" w:eastAsia="Times New Roman" w:hAnsi="Times New Roman" w:cs="Times New Roman"/>
                <w:sz w:val="20"/>
                <w:szCs w:val="20"/>
              </w:rPr>
              <w:t xml:space="preserve"> </w:t>
            </w:r>
          </w:p>
          <w:p w:rsidR="00DB1182" w:rsidRPr="00DB1182" w:rsidRDefault="00DB1182" w:rsidP="00DB1182">
            <w:pPr>
              <w:numPr>
                <w:ilvl w:val="1"/>
                <w:numId w:val="11"/>
              </w:numPr>
              <w:spacing w:before="100" w:beforeAutospacing="1" w:after="100" w:afterAutospacing="1" w:line="336" w:lineRule="auto"/>
              <w:ind w:left="0"/>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50+ analysts, largest dedicated team in this field in the world</w:t>
            </w:r>
            <w:r w:rsidRPr="00DB1182">
              <w:rPr>
                <w:rFonts w:ascii="Times New Roman" w:eastAsia="Times New Roman" w:hAnsi="Times New Roman" w:cs="Times New Roman"/>
                <w:sz w:val="20"/>
                <w:szCs w:val="20"/>
              </w:rPr>
              <w:br/>
              <w:t xml:space="preserve">Analysts include alumni of J.P. Morgan, Barclays Global Investors, </w:t>
            </w:r>
            <w:proofErr w:type="gramStart"/>
            <w:r w:rsidRPr="00DB1182">
              <w:rPr>
                <w:rFonts w:ascii="Times New Roman" w:eastAsia="Times New Roman" w:hAnsi="Times New Roman" w:cs="Times New Roman"/>
                <w:sz w:val="20"/>
                <w:szCs w:val="20"/>
              </w:rPr>
              <w:t>Lehman</w:t>
            </w:r>
            <w:proofErr w:type="gramEnd"/>
            <w:r w:rsidRPr="00DB1182">
              <w:rPr>
                <w:rFonts w:ascii="Times New Roman" w:eastAsia="Times New Roman" w:hAnsi="Times New Roman" w:cs="Times New Roman"/>
                <w:sz w:val="20"/>
                <w:szCs w:val="20"/>
              </w:rPr>
              <w:t xml:space="preserve"> Brothers. Deutsche Bank, Morgan Stanley </w:t>
            </w:r>
          </w:p>
          <w:p w:rsidR="00DB1182" w:rsidRPr="00DB1182" w:rsidRDefault="00DB1182" w:rsidP="00DB1182">
            <w:pPr>
              <w:numPr>
                <w:ilvl w:val="1"/>
                <w:numId w:val="11"/>
              </w:numPr>
              <w:spacing w:before="100" w:beforeAutospacing="1" w:after="100" w:afterAutospacing="1" w:line="336" w:lineRule="auto"/>
              <w:ind w:left="0"/>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Over 90% have advanced degrees (Harvard Business School, Wharton, University of London, Yale, Cornell, London School of Economics, </w:t>
            </w:r>
            <w:proofErr w:type="spellStart"/>
            <w:r w:rsidRPr="00DB1182">
              <w:rPr>
                <w:rFonts w:ascii="Times New Roman" w:eastAsia="Times New Roman" w:hAnsi="Times New Roman" w:cs="Times New Roman"/>
                <w:sz w:val="20"/>
                <w:szCs w:val="20"/>
              </w:rPr>
              <w:t>Ecole</w:t>
            </w:r>
            <w:proofErr w:type="spellEnd"/>
            <w:r w:rsidRPr="00DB1182">
              <w:rPr>
                <w:rFonts w:ascii="Times New Roman" w:eastAsia="Times New Roman" w:hAnsi="Times New Roman" w:cs="Times New Roman"/>
                <w:sz w:val="20"/>
                <w:szCs w:val="20"/>
              </w:rPr>
              <w:t xml:space="preserve"> </w:t>
            </w:r>
            <w:proofErr w:type="spellStart"/>
            <w:r w:rsidRPr="00DB1182">
              <w:rPr>
                <w:rFonts w:ascii="Times New Roman" w:eastAsia="Times New Roman" w:hAnsi="Times New Roman" w:cs="Times New Roman"/>
                <w:sz w:val="20"/>
                <w:szCs w:val="20"/>
              </w:rPr>
              <w:t>Nationale</w:t>
            </w:r>
            <w:proofErr w:type="spellEnd"/>
            <w:r w:rsidRPr="00DB1182">
              <w:rPr>
                <w:rFonts w:ascii="Times New Roman" w:eastAsia="Times New Roman" w:hAnsi="Times New Roman" w:cs="Times New Roman"/>
                <w:sz w:val="20"/>
                <w:szCs w:val="20"/>
              </w:rPr>
              <w:t xml:space="preserve"> </w:t>
            </w:r>
            <w:proofErr w:type="spellStart"/>
            <w:r w:rsidRPr="00DB1182">
              <w:rPr>
                <w:rFonts w:ascii="Times New Roman" w:eastAsia="Times New Roman" w:hAnsi="Times New Roman" w:cs="Times New Roman"/>
                <w:sz w:val="20"/>
                <w:szCs w:val="20"/>
              </w:rPr>
              <w:t>Superieur</w:t>
            </w:r>
            <w:proofErr w:type="spellEnd"/>
            <w:r w:rsidRPr="00DB1182">
              <w:rPr>
                <w:rFonts w:ascii="Times New Roman" w:eastAsia="Times New Roman" w:hAnsi="Times New Roman" w:cs="Times New Roman"/>
                <w:sz w:val="20"/>
                <w:szCs w:val="20"/>
              </w:rPr>
              <w:t xml:space="preserve"> </w:t>
            </w:r>
            <w:proofErr w:type="spellStart"/>
            <w:r w:rsidRPr="00DB1182">
              <w:rPr>
                <w:rFonts w:ascii="Times New Roman" w:eastAsia="Times New Roman" w:hAnsi="Times New Roman" w:cs="Times New Roman"/>
                <w:sz w:val="20"/>
                <w:szCs w:val="20"/>
              </w:rPr>
              <w:t>d’Arts</w:t>
            </w:r>
            <w:proofErr w:type="spellEnd"/>
            <w:r w:rsidRPr="00DB1182">
              <w:rPr>
                <w:rFonts w:ascii="Times New Roman" w:eastAsia="Times New Roman" w:hAnsi="Times New Roman" w:cs="Times New Roman"/>
                <w:sz w:val="20"/>
                <w:szCs w:val="20"/>
              </w:rPr>
              <w:t xml:space="preserve"> </w:t>
            </w:r>
            <w:proofErr w:type="gramStart"/>
            <w:r w:rsidRPr="00DB1182">
              <w:rPr>
                <w:rFonts w:ascii="Times New Roman" w:eastAsia="Times New Roman" w:hAnsi="Times New Roman" w:cs="Times New Roman"/>
                <w:sz w:val="20"/>
                <w:szCs w:val="20"/>
              </w:rPr>
              <w:t>et</w:t>
            </w:r>
            <w:proofErr w:type="gramEnd"/>
            <w:r w:rsidRPr="00DB1182">
              <w:rPr>
                <w:rFonts w:ascii="Times New Roman" w:eastAsia="Times New Roman" w:hAnsi="Times New Roman" w:cs="Times New Roman"/>
                <w:sz w:val="20"/>
                <w:szCs w:val="20"/>
              </w:rPr>
              <w:t xml:space="preserve"> </w:t>
            </w:r>
            <w:proofErr w:type="spellStart"/>
            <w:r w:rsidRPr="00DB1182">
              <w:rPr>
                <w:rFonts w:ascii="Times New Roman" w:eastAsia="Times New Roman" w:hAnsi="Times New Roman" w:cs="Times New Roman"/>
                <w:sz w:val="20"/>
                <w:szCs w:val="20"/>
              </w:rPr>
              <w:t>Metiers</w:t>
            </w:r>
            <w:proofErr w:type="spellEnd"/>
            <w:r w:rsidRPr="00DB1182">
              <w:rPr>
                <w:rFonts w:ascii="Times New Roman" w:eastAsia="Times New Roman" w:hAnsi="Times New Roman" w:cs="Times New Roman"/>
                <w:sz w:val="20"/>
                <w:szCs w:val="20"/>
              </w:rPr>
              <w:t xml:space="preserve">, University of Tokyo).  Team includes MBA’s, CFA’s, </w:t>
            </w:r>
            <w:proofErr w:type="spellStart"/>
            <w:r w:rsidRPr="00DB1182">
              <w:rPr>
                <w:rFonts w:ascii="Times New Roman" w:eastAsia="Times New Roman" w:hAnsi="Times New Roman" w:cs="Times New Roman"/>
                <w:sz w:val="20"/>
                <w:szCs w:val="20"/>
              </w:rPr>
              <w:t>MSc’s</w:t>
            </w:r>
            <w:proofErr w:type="spellEnd"/>
            <w:r w:rsidRPr="00DB1182">
              <w:rPr>
                <w:rFonts w:ascii="Times New Roman" w:eastAsia="Times New Roman" w:hAnsi="Times New Roman" w:cs="Times New Roman"/>
                <w:sz w:val="20"/>
                <w:szCs w:val="20"/>
              </w:rPr>
              <w:t xml:space="preserve">, </w:t>
            </w:r>
            <w:proofErr w:type="gramStart"/>
            <w:r w:rsidRPr="00DB1182">
              <w:rPr>
                <w:rFonts w:ascii="Times New Roman" w:eastAsia="Times New Roman" w:hAnsi="Times New Roman" w:cs="Times New Roman"/>
                <w:sz w:val="20"/>
                <w:szCs w:val="20"/>
              </w:rPr>
              <w:t>PhD’s</w:t>
            </w:r>
            <w:proofErr w:type="gramEnd"/>
            <w:r w:rsidRPr="00DB1182">
              <w:rPr>
                <w:rFonts w:ascii="Times New Roman" w:eastAsia="Times New Roman" w:hAnsi="Times New Roman" w:cs="Times New Roman"/>
                <w:sz w:val="20"/>
                <w:szCs w:val="20"/>
              </w:rPr>
              <w:t xml:space="preserve">. </w:t>
            </w:r>
          </w:p>
          <w:p w:rsidR="00DB1182" w:rsidRPr="00DB1182" w:rsidRDefault="00DB1182" w:rsidP="00DB1182">
            <w:pPr>
              <w:numPr>
                <w:ilvl w:val="1"/>
                <w:numId w:val="11"/>
              </w:numPr>
              <w:spacing w:before="100" w:beforeAutospacing="1" w:after="100" w:afterAutospacing="1" w:line="336" w:lineRule="auto"/>
              <w:ind w:left="0"/>
              <w:rPr>
                <w:rFonts w:ascii="Times New Roman" w:eastAsia="Times New Roman" w:hAnsi="Times New Roman" w:cs="Times New Roman"/>
                <w:sz w:val="20"/>
                <w:szCs w:val="20"/>
              </w:rPr>
            </w:pPr>
            <w:proofErr w:type="spellStart"/>
            <w:r w:rsidRPr="00DB1182">
              <w:rPr>
                <w:rFonts w:ascii="Times New Roman" w:eastAsia="Times New Roman" w:hAnsi="Times New Roman" w:cs="Times New Roman"/>
                <w:sz w:val="20"/>
                <w:szCs w:val="20"/>
              </w:rPr>
              <w:t>Innovest</w:t>
            </w:r>
            <w:proofErr w:type="spellEnd"/>
            <w:r w:rsidRPr="00DB1182">
              <w:rPr>
                <w:rFonts w:ascii="Times New Roman" w:eastAsia="Times New Roman" w:hAnsi="Times New Roman" w:cs="Times New Roman"/>
                <w:sz w:val="20"/>
                <w:szCs w:val="20"/>
              </w:rPr>
              <w:t xml:space="preserve"> research has been profiled or published in the Financial Analysts Journal, Journal of Asset Management, CFA Journal, Fortune, Forbes, Wall Street Journal, Financial Times, New York Times, and Business Week, as well as several book chapters. </w:t>
            </w:r>
          </w:p>
          <w:p w:rsidR="00DB1182" w:rsidRPr="00DB1182" w:rsidRDefault="00DB1182" w:rsidP="00DB1182">
            <w:pPr>
              <w:spacing w:after="180" w:line="336" w:lineRule="auto"/>
              <w:rPr>
                <w:rFonts w:ascii="Times New Roman" w:eastAsia="Times New Roman" w:hAnsi="Times New Roman" w:cs="Times New Roman"/>
                <w:sz w:val="20"/>
                <w:szCs w:val="20"/>
              </w:rPr>
            </w:pPr>
            <w:proofErr w:type="spellStart"/>
            <w:r w:rsidRPr="00DB1182">
              <w:rPr>
                <w:rFonts w:ascii="Times New Roman" w:eastAsia="Times New Roman" w:hAnsi="Times New Roman" w:cs="Times New Roman"/>
                <w:b/>
                <w:bCs/>
                <w:sz w:val="20"/>
                <w:szCs w:val="20"/>
              </w:rPr>
              <w:t>Rigour</w:t>
            </w:r>
            <w:proofErr w:type="spellEnd"/>
            <w:r w:rsidRPr="00DB1182">
              <w:rPr>
                <w:rFonts w:ascii="Times New Roman" w:eastAsia="Times New Roman" w:hAnsi="Times New Roman" w:cs="Times New Roman"/>
                <w:b/>
                <w:bCs/>
                <w:sz w:val="20"/>
                <w:szCs w:val="20"/>
              </w:rPr>
              <w:t xml:space="preserve"> of Research Process</w:t>
            </w:r>
            <w:r w:rsidRPr="00DB1182">
              <w:rPr>
                <w:rFonts w:ascii="Times New Roman" w:eastAsia="Times New Roman" w:hAnsi="Times New Roman" w:cs="Times New Roman"/>
                <w:sz w:val="20"/>
                <w:szCs w:val="20"/>
              </w:rPr>
              <w:t xml:space="preserve"> </w:t>
            </w:r>
          </w:p>
          <w:p w:rsidR="00DB1182" w:rsidRPr="00DB1182" w:rsidRDefault="00DB1182" w:rsidP="00DB1182">
            <w:pPr>
              <w:numPr>
                <w:ilvl w:val="1"/>
                <w:numId w:val="12"/>
              </w:numPr>
              <w:spacing w:before="100" w:beforeAutospacing="1" w:after="100" w:afterAutospacing="1" w:line="336" w:lineRule="auto"/>
              <w:ind w:left="0"/>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In-depth analysis of each industry’s competitive dynamics precedes any company-specific assessments; 30 in-depth industry sector reports completed, plus 35 sector profiles </w:t>
            </w:r>
          </w:p>
          <w:p w:rsidR="00DB1182" w:rsidRPr="00DB1182" w:rsidRDefault="00DB1182" w:rsidP="00DB1182">
            <w:pPr>
              <w:numPr>
                <w:ilvl w:val="1"/>
                <w:numId w:val="12"/>
              </w:numPr>
              <w:spacing w:before="100" w:beforeAutospacing="1" w:after="100" w:afterAutospacing="1" w:line="336" w:lineRule="auto"/>
              <w:ind w:left="0"/>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Company research is intensive, interactive, and includes real-time interviews with company officials – no questionnaires </w:t>
            </w:r>
          </w:p>
          <w:p w:rsidR="00DB1182" w:rsidRPr="00DB1182" w:rsidRDefault="00DB1182" w:rsidP="00DB1182">
            <w:pPr>
              <w:spacing w:after="180" w:line="336" w:lineRule="auto"/>
              <w:rPr>
                <w:rFonts w:ascii="Times New Roman" w:eastAsia="Times New Roman" w:hAnsi="Times New Roman" w:cs="Times New Roman"/>
                <w:b/>
                <w:sz w:val="20"/>
                <w:szCs w:val="20"/>
              </w:rPr>
            </w:pPr>
            <w:r w:rsidRPr="00DB1182">
              <w:rPr>
                <w:rFonts w:ascii="Times New Roman" w:eastAsia="Times New Roman" w:hAnsi="Times New Roman" w:cs="Times New Roman"/>
                <w:b/>
                <w:bCs/>
                <w:sz w:val="20"/>
                <w:szCs w:val="20"/>
              </w:rPr>
              <w:t xml:space="preserve">Quantitative </w:t>
            </w:r>
            <w:proofErr w:type="spellStart"/>
            <w:r w:rsidRPr="00DB1182">
              <w:rPr>
                <w:rFonts w:ascii="Times New Roman" w:eastAsia="Times New Roman" w:hAnsi="Times New Roman" w:cs="Times New Roman"/>
                <w:b/>
                <w:bCs/>
                <w:sz w:val="20"/>
                <w:szCs w:val="20"/>
              </w:rPr>
              <w:t>Rigour</w:t>
            </w:r>
            <w:proofErr w:type="spellEnd"/>
            <w:r w:rsidRPr="00DB1182">
              <w:rPr>
                <w:rFonts w:ascii="Times New Roman" w:eastAsia="Times New Roman" w:hAnsi="Times New Roman" w:cs="Times New Roman"/>
                <w:b/>
                <w:sz w:val="20"/>
                <w:szCs w:val="20"/>
              </w:rPr>
              <w:t xml:space="preserve"> </w:t>
            </w:r>
          </w:p>
          <w:p w:rsidR="00DB1182" w:rsidRPr="00DB1182" w:rsidRDefault="00DB1182" w:rsidP="00DB1182">
            <w:pPr>
              <w:numPr>
                <w:ilvl w:val="1"/>
                <w:numId w:val="13"/>
              </w:numPr>
              <w:spacing w:before="100" w:beforeAutospacing="1" w:after="100" w:afterAutospacing="1" w:line="336" w:lineRule="auto"/>
              <w:ind w:left="0"/>
              <w:rPr>
                <w:rFonts w:ascii="Times New Roman" w:eastAsia="Times New Roman" w:hAnsi="Times New Roman" w:cs="Times New Roman"/>
                <w:bCs/>
                <w:sz w:val="20"/>
                <w:szCs w:val="20"/>
              </w:rPr>
            </w:pPr>
            <w:r w:rsidRPr="00DB1182">
              <w:rPr>
                <w:rFonts w:ascii="Times New Roman" w:eastAsia="Times New Roman" w:hAnsi="Times New Roman" w:cs="Times New Roman"/>
                <w:bCs/>
                <w:sz w:val="20"/>
                <w:szCs w:val="20"/>
              </w:rPr>
              <w:t xml:space="preserve">Proprietary, sector-specific risk algorithms; factor weightings driven by empirical stock market research and risk models </w:t>
            </w:r>
          </w:p>
          <w:p w:rsidR="00DB1182" w:rsidRPr="00DB1182" w:rsidRDefault="00DB1182" w:rsidP="00DB1182">
            <w:pPr>
              <w:spacing w:after="180"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b/>
                <w:bCs/>
                <w:sz w:val="20"/>
                <w:szCs w:val="20"/>
              </w:rPr>
              <w:t>In-depth Industry and Technical Knowledge</w:t>
            </w:r>
            <w:r w:rsidRPr="00DB1182">
              <w:rPr>
                <w:rFonts w:ascii="Times New Roman" w:eastAsia="Times New Roman" w:hAnsi="Times New Roman" w:cs="Times New Roman"/>
                <w:sz w:val="20"/>
                <w:szCs w:val="20"/>
              </w:rPr>
              <w:t xml:space="preserve"> </w:t>
            </w:r>
          </w:p>
          <w:p w:rsidR="00DB1182" w:rsidRPr="00DB1182" w:rsidRDefault="00DB1182" w:rsidP="00DB1182">
            <w:pPr>
              <w:numPr>
                <w:ilvl w:val="1"/>
                <w:numId w:val="14"/>
              </w:numPr>
              <w:spacing w:before="100" w:beforeAutospacing="1" w:after="100" w:afterAutospacing="1" w:line="336" w:lineRule="auto"/>
              <w:ind w:left="0"/>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30 in-depth industry sector reports completed; 35+ sector overviews </w:t>
            </w:r>
          </w:p>
          <w:p w:rsidR="00DB1182" w:rsidRPr="00DB1182" w:rsidRDefault="00DB1182" w:rsidP="00DB1182">
            <w:pPr>
              <w:numPr>
                <w:ilvl w:val="1"/>
                <w:numId w:val="14"/>
              </w:numPr>
              <w:spacing w:before="100" w:beforeAutospacing="1" w:after="100" w:afterAutospacing="1" w:line="336" w:lineRule="auto"/>
              <w:ind w:left="0"/>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Invited presenters to World Economic Forum, World Petroleum Congress, Minerals Economic Symposium, dozens </w:t>
            </w:r>
            <w:r w:rsidRPr="00DB1182">
              <w:rPr>
                <w:rFonts w:ascii="Times New Roman" w:eastAsia="Times New Roman" w:hAnsi="Times New Roman" w:cs="Times New Roman"/>
                <w:sz w:val="20"/>
                <w:szCs w:val="20"/>
              </w:rPr>
              <w:lastRenderedPageBreak/>
              <w:t xml:space="preserve">of major investment conferences </w:t>
            </w:r>
          </w:p>
          <w:p w:rsidR="00DB1182" w:rsidRPr="00DB1182" w:rsidRDefault="00DB1182" w:rsidP="00DB1182">
            <w:pPr>
              <w:spacing w:after="180"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b/>
                <w:bCs/>
                <w:sz w:val="20"/>
                <w:szCs w:val="20"/>
              </w:rPr>
              <w:t>Global Presence and Seamless Coverage</w:t>
            </w:r>
            <w:r w:rsidRPr="00DB1182">
              <w:rPr>
                <w:rFonts w:ascii="Times New Roman" w:eastAsia="Times New Roman" w:hAnsi="Times New Roman" w:cs="Times New Roman"/>
                <w:sz w:val="20"/>
                <w:szCs w:val="20"/>
              </w:rPr>
              <w:t xml:space="preserve"> </w:t>
            </w:r>
          </w:p>
          <w:p w:rsidR="00DB1182" w:rsidRPr="00DB1182" w:rsidRDefault="00DB1182" w:rsidP="00DB1182">
            <w:pPr>
              <w:numPr>
                <w:ilvl w:val="1"/>
                <w:numId w:val="15"/>
              </w:numPr>
              <w:spacing w:before="100" w:beforeAutospacing="1" w:after="100" w:afterAutospacing="1" w:line="336" w:lineRule="auto"/>
              <w:ind w:left="0"/>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7 offices in 6 countries on 4 continents </w:t>
            </w:r>
          </w:p>
          <w:p w:rsidR="00DB1182" w:rsidRPr="00DB1182" w:rsidRDefault="00DB1182" w:rsidP="00DB1182">
            <w:pPr>
              <w:numPr>
                <w:ilvl w:val="1"/>
                <w:numId w:val="15"/>
              </w:numPr>
              <w:spacing w:before="100" w:beforeAutospacing="1" w:after="100" w:afterAutospacing="1" w:line="336" w:lineRule="auto"/>
              <w:ind w:left="0"/>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1750+ companies worldwide, 60+ industry sectors; 25+ in-depth sector reports </w:t>
            </w:r>
          </w:p>
          <w:p w:rsidR="00DB1182" w:rsidRPr="00DB1182" w:rsidRDefault="00DB1182" w:rsidP="00DB1182">
            <w:pPr>
              <w:numPr>
                <w:ilvl w:val="1"/>
                <w:numId w:val="15"/>
              </w:numPr>
              <w:spacing w:before="100" w:beforeAutospacing="1" w:after="100" w:afterAutospacing="1" w:line="336" w:lineRule="auto"/>
              <w:ind w:left="0"/>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All research and analysis done with uniform research protocol worldwide, and global teams of sector specialists </w:t>
            </w:r>
          </w:p>
          <w:p w:rsidR="00DB1182" w:rsidRPr="00DB1182" w:rsidRDefault="00DB1182" w:rsidP="00DB1182">
            <w:pPr>
              <w:numPr>
                <w:ilvl w:val="1"/>
                <w:numId w:val="15"/>
              </w:numPr>
              <w:spacing w:before="100" w:beforeAutospacing="1" w:after="100" w:afterAutospacing="1" w:line="336" w:lineRule="auto"/>
              <w:ind w:left="0"/>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Collective staff fluency in 18 languages; greatly facilitates company dialogue </w:t>
            </w:r>
          </w:p>
          <w:p w:rsidR="00DB1182" w:rsidRPr="00DB1182" w:rsidRDefault="00DB1182" w:rsidP="00DB1182">
            <w:pPr>
              <w:spacing w:after="180"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b/>
                <w:bCs/>
                <w:sz w:val="20"/>
                <w:szCs w:val="20"/>
              </w:rPr>
              <w:t>Superior Access to Company Executives</w:t>
            </w:r>
            <w:r w:rsidRPr="00DB1182">
              <w:rPr>
                <w:rFonts w:ascii="Times New Roman" w:eastAsia="Times New Roman" w:hAnsi="Times New Roman" w:cs="Times New Roman"/>
                <w:sz w:val="20"/>
                <w:szCs w:val="20"/>
              </w:rPr>
              <w:t xml:space="preserve"> </w:t>
            </w:r>
          </w:p>
          <w:p w:rsidR="00DB1182" w:rsidRPr="00DB1182" w:rsidRDefault="00DB1182" w:rsidP="00DB1182">
            <w:pPr>
              <w:numPr>
                <w:ilvl w:val="1"/>
                <w:numId w:val="16"/>
              </w:numPr>
              <w:spacing w:before="100" w:beforeAutospacing="1" w:after="100" w:afterAutospacing="1" w:line="336" w:lineRule="auto"/>
              <w:ind w:left="0"/>
              <w:rPr>
                <w:rFonts w:ascii="Times New Roman" w:eastAsia="Times New Roman" w:hAnsi="Times New Roman" w:cs="Times New Roman"/>
                <w:sz w:val="20"/>
                <w:szCs w:val="20"/>
              </w:rPr>
            </w:pPr>
            <w:r w:rsidRPr="00DB1182">
              <w:rPr>
                <w:rFonts w:ascii="Times New Roman" w:eastAsia="Times New Roman" w:hAnsi="Times New Roman" w:cs="Times New Roman"/>
                <w:sz w:val="20"/>
                <w:szCs w:val="20"/>
              </w:rPr>
              <w:t xml:space="preserve">Interviewed in real-time, by sector specialists – over 80% success rate – questionnaires not  used </w:t>
            </w:r>
          </w:p>
          <w:p w:rsidR="00DB1182" w:rsidRPr="00DB1182" w:rsidRDefault="00DB1182" w:rsidP="00DB1182">
            <w:pPr>
              <w:spacing w:after="180" w:line="336" w:lineRule="auto"/>
              <w:rPr>
                <w:rFonts w:ascii="Times New Roman" w:eastAsia="Times New Roman" w:hAnsi="Times New Roman" w:cs="Times New Roman"/>
                <w:sz w:val="20"/>
                <w:szCs w:val="20"/>
              </w:rPr>
            </w:pPr>
            <w:r w:rsidRPr="00DB1182">
              <w:rPr>
                <w:rFonts w:ascii="Times New Roman" w:eastAsia="Times New Roman" w:hAnsi="Times New Roman" w:cs="Times New Roman"/>
                <w:b/>
                <w:bCs/>
                <w:sz w:val="20"/>
                <w:szCs w:val="20"/>
              </w:rPr>
              <w:t>360° Perspective</w:t>
            </w:r>
            <w:r w:rsidRPr="00DB1182">
              <w:rPr>
                <w:rFonts w:ascii="Times New Roman" w:eastAsia="Times New Roman" w:hAnsi="Times New Roman" w:cs="Times New Roman"/>
                <w:sz w:val="20"/>
                <w:szCs w:val="20"/>
              </w:rPr>
              <w:t xml:space="preserve"> </w:t>
            </w:r>
          </w:p>
          <w:p w:rsidR="00DB1182" w:rsidRPr="00DB1182" w:rsidRDefault="00DB1182" w:rsidP="00DB1182">
            <w:pPr>
              <w:numPr>
                <w:ilvl w:val="1"/>
                <w:numId w:val="17"/>
              </w:numPr>
              <w:spacing w:before="100" w:beforeAutospacing="1" w:after="100" w:afterAutospacing="1" w:line="336" w:lineRule="auto"/>
              <w:ind w:left="0"/>
              <w:rPr>
                <w:rFonts w:ascii="Times New Roman" w:eastAsia="Times New Roman" w:hAnsi="Times New Roman" w:cs="Times New Roman"/>
                <w:sz w:val="20"/>
                <w:szCs w:val="20"/>
              </w:rPr>
            </w:pPr>
            <w:proofErr w:type="spellStart"/>
            <w:r w:rsidRPr="00DB1182">
              <w:rPr>
                <w:rFonts w:ascii="Times New Roman" w:eastAsia="Times New Roman" w:hAnsi="Times New Roman" w:cs="Times New Roman"/>
                <w:sz w:val="20"/>
                <w:szCs w:val="20"/>
              </w:rPr>
              <w:t>Innovest</w:t>
            </w:r>
            <w:proofErr w:type="spellEnd"/>
            <w:r w:rsidRPr="00DB1182">
              <w:rPr>
                <w:rFonts w:ascii="Times New Roman" w:eastAsia="Times New Roman" w:hAnsi="Times New Roman" w:cs="Times New Roman"/>
                <w:sz w:val="20"/>
                <w:szCs w:val="20"/>
              </w:rPr>
              <w:t xml:space="preserve"> clients include leading institutional investors, multinational companies, </w:t>
            </w:r>
            <w:proofErr w:type="spellStart"/>
            <w:r w:rsidRPr="00DB1182">
              <w:rPr>
                <w:rFonts w:ascii="Times New Roman" w:eastAsia="Times New Roman" w:hAnsi="Times New Roman" w:cs="Times New Roman"/>
                <w:sz w:val="20"/>
                <w:szCs w:val="20"/>
              </w:rPr>
              <w:t>cleantech</w:t>
            </w:r>
            <w:proofErr w:type="spellEnd"/>
            <w:r w:rsidRPr="00DB1182">
              <w:rPr>
                <w:rFonts w:ascii="Times New Roman" w:eastAsia="Times New Roman" w:hAnsi="Times New Roman" w:cs="Times New Roman"/>
                <w:sz w:val="20"/>
                <w:szCs w:val="20"/>
              </w:rPr>
              <w:t xml:space="preserve"> solution providers, governments, and NGO’s. </w:t>
            </w:r>
          </w:p>
        </w:tc>
      </w:tr>
    </w:tbl>
    <w:p w:rsidR="00DB1182" w:rsidRDefault="00DB1182" w:rsidP="00DB1182">
      <w:pPr>
        <w:pStyle w:val="NoSpacing"/>
      </w:pPr>
    </w:p>
    <w:sectPr w:rsidR="00DB1182" w:rsidSect="00982C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37F1"/>
    <w:multiLevelType w:val="multilevel"/>
    <w:tmpl w:val="90688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454A1"/>
    <w:multiLevelType w:val="multilevel"/>
    <w:tmpl w:val="BF325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9730A"/>
    <w:multiLevelType w:val="multilevel"/>
    <w:tmpl w:val="0858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B7F8B"/>
    <w:multiLevelType w:val="multilevel"/>
    <w:tmpl w:val="94BA0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F4F8B"/>
    <w:multiLevelType w:val="multilevel"/>
    <w:tmpl w:val="9E6AB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9350B5"/>
    <w:multiLevelType w:val="multilevel"/>
    <w:tmpl w:val="0964B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A069AC"/>
    <w:multiLevelType w:val="multilevel"/>
    <w:tmpl w:val="5DDA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DB024C"/>
    <w:multiLevelType w:val="hybridMultilevel"/>
    <w:tmpl w:val="1FF07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0E2539"/>
    <w:multiLevelType w:val="multilevel"/>
    <w:tmpl w:val="8A56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772AA0"/>
    <w:multiLevelType w:val="multilevel"/>
    <w:tmpl w:val="0C5E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45429"/>
    <w:multiLevelType w:val="multilevel"/>
    <w:tmpl w:val="D2328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E5E0C"/>
    <w:multiLevelType w:val="multilevel"/>
    <w:tmpl w:val="9522C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EB7597"/>
    <w:multiLevelType w:val="multilevel"/>
    <w:tmpl w:val="E6749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267979"/>
    <w:multiLevelType w:val="multilevel"/>
    <w:tmpl w:val="BFB28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532B5"/>
    <w:multiLevelType w:val="multilevel"/>
    <w:tmpl w:val="1A0C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344272"/>
    <w:multiLevelType w:val="multilevel"/>
    <w:tmpl w:val="8024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B65FA"/>
    <w:multiLevelType w:val="multilevel"/>
    <w:tmpl w:val="C87C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4"/>
  </w:num>
  <w:num w:numId="4">
    <w:abstractNumId w:val="16"/>
  </w:num>
  <w:num w:numId="5">
    <w:abstractNumId w:val="6"/>
  </w:num>
  <w:num w:numId="6">
    <w:abstractNumId w:val="8"/>
  </w:num>
  <w:num w:numId="7">
    <w:abstractNumId w:val="7"/>
  </w:num>
  <w:num w:numId="8">
    <w:abstractNumId w:val="3"/>
  </w:num>
  <w:num w:numId="9">
    <w:abstractNumId w:val="12"/>
  </w:num>
  <w:num w:numId="10">
    <w:abstractNumId w:val="0"/>
  </w:num>
  <w:num w:numId="11">
    <w:abstractNumId w:val="13"/>
  </w:num>
  <w:num w:numId="12">
    <w:abstractNumId w:val="5"/>
  </w:num>
  <w:num w:numId="13">
    <w:abstractNumId w:val="11"/>
  </w:num>
  <w:num w:numId="14">
    <w:abstractNumId w:val="4"/>
  </w:num>
  <w:num w:numId="15">
    <w:abstractNumId w:val="10"/>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1182"/>
    <w:rsid w:val="00086267"/>
    <w:rsid w:val="005B6011"/>
    <w:rsid w:val="005E7CF5"/>
    <w:rsid w:val="00982CD1"/>
    <w:rsid w:val="00DB1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1182"/>
    <w:pPr>
      <w:spacing w:after="0" w:line="240" w:lineRule="auto"/>
    </w:pPr>
  </w:style>
  <w:style w:type="paragraph" w:styleId="NormalWeb">
    <w:name w:val="Normal (Web)"/>
    <w:basedOn w:val="Normal"/>
    <w:uiPriority w:val="99"/>
    <w:unhideWhenUsed/>
    <w:rsid w:val="00DB1182"/>
    <w:pPr>
      <w:spacing w:after="180" w:line="336" w:lineRule="auto"/>
    </w:pPr>
    <w:rPr>
      <w:rFonts w:ascii="Arial" w:eastAsia="Times New Roman" w:hAnsi="Arial" w:cs="Arial"/>
      <w:color w:val="464646"/>
      <w:sz w:val="18"/>
      <w:szCs w:val="18"/>
    </w:rPr>
  </w:style>
  <w:style w:type="character" w:customStyle="1" w:styleId="contenttext">
    <w:name w:val="content_text"/>
    <w:basedOn w:val="DefaultParagraphFont"/>
    <w:rsid w:val="00DB1182"/>
  </w:style>
  <w:style w:type="character" w:styleId="Strong">
    <w:name w:val="Strong"/>
    <w:basedOn w:val="DefaultParagraphFont"/>
    <w:uiPriority w:val="22"/>
    <w:qFormat/>
    <w:rsid w:val="00DB1182"/>
    <w:rPr>
      <w:b/>
      <w:bCs/>
    </w:rPr>
  </w:style>
  <w:style w:type="paragraph" w:styleId="ListParagraph">
    <w:name w:val="List Paragraph"/>
    <w:basedOn w:val="Normal"/>
    <w:uiPriority w:val="34"/>
    <w:qFormat/>
    <w:rsid w:val="00DB118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1398</Words>
  <Characters>7969</Characters>
  <Application>Microsoft Office Word</Application>
  <DocSecurity>0</DocSecurity>
  <Lines>66</Lines>
  <Paragraphs>18</Paragraphs>
  <ScaleCrop>false</ScaleCrop>
  <Company> </Company>
  <LinksUpToDate>false</LinksUpToDate>
  <CharactersWithSpaces>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2009-02-11T19:23:00Z</dcterms:created>
  <dcterms:modified xsi:type="dcterms:W3CDTF">2009-02-11T19:32:00Z</dcterms:modified>
</cp:coreProperties>
</file>