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706" w:rsidRDefault="00985706">
      <w:pPr>
        <w:jc w:val="both"/>
      </w:pPr>
      <w:smartTag w:uri="urn:schemas-microsoft-com:office:smarttags" w:element="date">
        <w:smartTagPr>
          <w:attr w:name="Month" w:val="3"/>
          <w:attr w:name="Day" w:val="30"/>
          <w:attr w:name="Year" w:val="2001"/>
        </w:smartTagPr>
        <w:r>
          <w:t>March 30, 2001</w:t>
        </w:r>
      </w:smartTag>
    </w:p>
    <w:p w:rsidR="00985706" w:rsidRDefault="00985706">
      <w:pPr>
        <w:jc w:val="both"/>
      </w:pPr>
    </w:p>
    <w:p w:rsidR="00985706" w:rsidRDefault="00985706">
      <w:pPr>
        <w:jc w:val="both"/>
      </w:pPr>
    </w:p>
    <w:p w:rsidR="00985706" w:rsidRDefault="00985706">
      <w:pPr>
        <w:jc w:val="both"/>
      </w:pPr>
    </w:p>
    <w:p w:rsidR="00985706" w:rsidRDefault="00985706">
      <w:pPr>
        <w:jc w:val="both"/>
      </w:pPr>
      <w:r>
        <w:t>Ms. Client</w:t>
      </w:r>
    </w:p>
    <w:p w:rsidR="00985706" w:rsidRDefault="00985706">
      <w:pPr>
        <w:jc w:val="both"/>
      </w:pPr>
      <w:r>
        <w:t>Senior Vice President</w:t>
      </w:r>
    </w:p>
    <w:p w:rsidR="00985706" w:rsidRDefault="00985706">
      <w:pPr>
        <w:jc w:val="both"/>
      </w:pPr>
      <w:r>
        <w:t>Bank 123</w:t>
      </w:r>
    </w:p>
    <w:p w:rsidR="00985706" w:rsidRDefault="00985706">
      <w:pPr>
        <w:jc w:val="both"/>
      </w:pPr>
      <w:bookmarkStart w:id="0" w:name="_GoBack"/>
      <w:r>
        <w:t>Address</w:t>
      </w:r>
      <w:bookmarkEnd w:id="0"/>
    </w:p>
    <w:p w:rsidR="00985706" w:rsidRDefault="00985706">
      <w:pPr>
        <w:jc w:val="both"/>
      </w:pPr>
      <w:smartTag w:uri="urn:schemas-microsoft-com:office:smarttags" w:element="City">
        <w:r>
          <w:t>Chicago</w:t>
        </w:r>
      </w:smartTag>
      <w:r>
        <w:t xml:space="preserve">, </w:t>
      </w:r>
      <w:smartTag w:uri="urn:schemas-microsoft-com:office:smarttags" w:element="State">
        <w:r>
          <w:t>Illinois</w:t>
        </w:r>
      </w:smartTag>
      <w:r>
        <w:t xml:space="preserve"> 60611</w:t>
      </w:r>
    </w:p>
    <w:p w:rsidR="00985706" w:rsidRDefault="00985706">
      <w:pPr>
        <w:jc w:val="both"/>
      </w:pPr>
    </w:p>
    <w:p w:rsidR="00985706" w:rsidRDefault="00985706">
      <w:pPr>
        <w:jc w:val="both"/>
      </w:pPr>
    </w:p>
    <w:p w:rsidR="00985706" w:rsidRDefault="00985706">
      <w:pPr>
        <w:jc w:val="both"/>
        <w:rPr>
          <w:b/>
        </w:rPr>
      </w:pPr>
      <w:r>
        <w:rPr>
          <w:b/>
        </w:rPr>
        <w:t>RE: Letter of Understanding – Cash Management Pricing Assessment</w:t>
      </w:r>
    </w:p>
    <w:p w:rsidR="00985706" w:rsidRDefault="00985706">
      <w:pPr>
        <w:jc w:val="both"/>
      </w:pPr>
    </w:p>
    <w:p w:rsidR="00985706" w:rsidRDefault="00985706">
      <w:pPr>
        <w:jc w:val="both"/>
      </w:pPr>
    </w:p>
    <w:p w:rsidR="00985706" w:rsidRDefault="00985706">
      <w:pPr>
        <w:jc w:val="both"/>
      </w:pPr>
      <w:r>
        <w:t>Dear Client:</w:t>
      </w:r>
    </w:p>
    <w:p w:rsidR="00985706" w:rsidRDefault="00985706">
      <w:pPr>
        <w:jc w:val="both"/>
      </w:pPr>
    </w:p>
    <w:p w:rsidR="00985706" w:rsidRDefault="00985706">
      <w:r>
        <w:t>Firm XYZ</w:t>
      </w:r>
      <w:r w:rsidR="00DE78D5">
        <w:t xml:space="preserve"> </w:t>
      </w:r>
      <w:r>
        <w:t xml:space="preserve">(XYZ) appreciates the opportunity to assist the Bank 123 (BANK 123) with the assessment of the various pricing schedules in the Indiana Cash Management products.  We have enjoyed teaming with BANK 123 to complete many successful projects to date and look forward to contributing to the success of this project. </w:t>
      </w:r>
    </w:p>
    <w:p w:rsidR="00985706" w:rsidRDefault="00985706"/>
    <w:p w:rsidR="00985706" w:rsidRDefault="00985706">
      <w:r>
        <w:t xml:space="preserve">This agreement is executed pursuant to the Professional Services Agreement between Bank 123 and Firm XYZ (XYZ) dated as of </w:t>
      </w:r>
      <w:smartTag w:uri="urn:schemas-microsoft-com:office:smarttags" w:element="date">
        <w:smartTagPr>
          <w:attr w:name="Year" w:val="1999"/>
          <w:attr w:name="Day" w:val="9"/>
          <w:attr w:name="Month" w:val="12"/>
        </w:smartTagPr>
        <w:r>
          <w:t>December 9, 1999</w:t>
        </w:r>
      </w:smartTag>
      <w:r>
        <w:t xml:space="preserve">, as amended on </w:t>
      </w:r>
      <w:smartTag w:uri="urn:schemas-microsoft-com:office:smarttags" w:element="date">
        <w:smartTagPr>
          <w:attr w:name="Year" w:val="2000"/>
          <w:attr w:name="Day" w:val="25"/>
          <w:attr w:name="Month" w:val="4"/>
        </w:smartTagPr>
        <w:r>
          <w:t>April 25, 2000</w:t>
        </w:r>
      </w:smartTag>
      <w:r>
        <w:t xml:space="preserve"> (the Agreement).  It addresses the project scope, approach, staffing, timing and our estimated fees.</w:t>
      </w:r>
    </w:p>
    <w:p w:rsidR="00985706" w:rsidRDefault="00985706">
      <w:pPr>
        <w:pStyle w:val="Indent1"/>
        <w:ind w:left="0"/>
        <w:jc w:val="both"/>
      </w:pPr>
    </w:p>
    <w:p w:rsidR="00985706" w:rsidRDefault="00985706">
      <w:pPr>
        <w:jc w:val="both"/>
      </w:pPr>
    </w:p>
    <w:p w:rsidR="00985706" w:rsidRDefault="00985706">
      <w:pPr>
        <w:jc w:val="both"/>
        <w:rPr>
          <w:b/>
          <w:sz w:val="28"/>
        </w:rPr>
      </w:pPr>
      <w:r>
        <w:rPr>
          <w:b/>
          <w:sz w:val="28"/>
        </w:rPr>
        <w:t>Project Scope</w:t>
      </w:r>
    </w:p>
    <w:p w:rsidR="00985706" w:rsidRDefault="00985706">
      <w:pPr>
        <w:jc w:val="both"/>
        <w:rPr>
          <w:b/>
          <w:sz w:val="28"/>
        </w:rPr>
      </w:pPr>
    </w:p>
    <w:p w:rsidR="00985706" w:rsidRDefault="00985706">
      <w:r>
        <w:t xml:space="preserve">We will assist BANK 123 in assessing the various cash management pricing schedules currently used at Indiana National Bank (INB), Lowell (LB) and </w:t>
      </w:r>
      <w:smartTag w:uri="urn:schemas-microsoft-com:office:smarttags" w:element="PlaceType">
        <w:r>
          <w:t>Fort</w:t>
        </w:r>
      </w:smartTag>
      <w:r>
        <w:t xml:space="preserve"> Gratiot (FGB). In addition, we will assess the pricing schedules of various Indiana based competitors (e.g. Bank One, Comerica, Old Kent). Based on the assessment, we will perform a sensitivity analysis to ultimately recommend a more standardized pricing schedule for Indiana (e.g. Greater Indiana, Southeast Indiana).  The project is scheduled to begin </w:t>
      </w:r>
      <w:smartTag w:uri="urn:schemas-microsoft-com:office:smarttags" w:element="date">
        <w:smartTagPr>
          <w:attr w:name="Year" w:val="2001"/>
          <w:attr w:name="Day" w:val="2"/>
          <w:attr w:name="Month" w:val="4"/>
        </w:smartTagPr>
        <w:r>
          <w:t>April 2, 2001</w:t>
        </w:r>
      </w:smartTag>
      <w:r>
        <w:t xml:space="preserve"> and will last approximately 8 weeks. </w:t>
      </w:r>
    </w:p>
    <w:p w:rsidR="00985706" w:rsidRDefault="00985706">
      <w:pPr>
        <w:pStyle w:val="Indent1"/>
        <w:ind w:left="0"/>
        <w:jc w:val="both"/>
      </w:pPr>
    </w:p>
    <w:p w:rsidR="00985706" w:rsidRDefault="00985706">
      <w:r>
        <w:t xml:space="preserve">Critical to the success of this project are various key considerations including: </w:t>
      </w:r>
    </w:p>
    <w:p w:rsidR="00985706" w:rsidRDefault="00985706">
      <w:pPr>
        <w:tabs>
          <w:tab w:val="left" w:pos="1170"/>
        </w:tabs>
        <w:ind w:left="1080" w:hanging="360"/>
        <w:rPr>
          <w:szCs w:val="12"/>
          <w:lang w:val="en-GB"/>
        </w:rPr>
      </w:pPr>
      <w:r>
        <w:rPr>
          <w:szCs w:val="12"/>
        </w:rPr>
        <w:t xml:space="preserve">– </w:t>
      </w:r>
      <w:r>
        <w:rPr>
          <w:szCs w:val="12"/>
        </w:rPr>
        <w:tab/>
      </w:r>
      <w:r>
        <w:rPr>
          <w:szCs w:val="12"/>
          <w:lang w:val="en-GB"/>
        </w:rPr>
        <w:t>Standardized product definitions</w:t>
      </w:r>
    </w:p>
    <w:p w:rsidR="00985706" w:rsidRDefault="00985706">
      <w:pPr>
        <w:tabs>
          <w:tab w:val="left" w:pos="1080"/>
        </w:tabs>
        <w:ind w:left="720"/>
        <w:rPr>
          <w:szCs w:val="12"/>
          <w:lang w:val="en-GB"/>
        </w:rPr>
      </w:pPr>
      <w:r>
        <w:rPr>
          <w:szCs w:val="12"/>
        </w:rPr>
        <w:t xml:space="preserve">– </w:t>
      </w:r>
      <w:r>
        <w:rPr>
          <w:szCs w:val="12"/>
        </w:rPr>
        <w:tab/>
      </w:r>
      <w:r>
        <w:rPr>
          <w:szCs w:val="12"/>
          <w:lang w:val="en-GB"/>
        </w:rPr>
        <w:t>Availability of competitor information</w:t>
      </w:r>
    </w:p>
    <w:p w:rsidR="00985706" w:rsidRDefault="00985706">
      <w:pPr>
        <w:numPr>
          <w:ilvl w:val="0"/>
          <w:numId w:val="7"/>
        </w:numPr>
        <w:rPr>
          <w:szCs w:val="12"/>
          <w:lang w:val="en-GB"/>
        </w:rPr>
      </w:pPr>
      <w:r>
        <w:rPr>
          <w:szCs w:val="12"/>
          <w:lang w:val="en-GB"/>
        </w:rPr>
        <w:t>Impact of concession pricing</w:t>
      </w:r>
    </w:p>
    <w:p w:rsidR="00985706" w:rsidRDefault="00985706">
      <w:pPr>
        <w:pStyle w:val="NormalIndent"/>
        <w:rPr>
          <w:szCs w:val="12"/>
          <w:lang w:val="en-GB"/>
        </w:rPr>
      </w:pPr>
    </w:p>
    <w:p w:rsidR="00985706" w:rsidRDefault="00985706">
      <w:pPr>
        <w:rPr>
          <w:vanish/>
          <w:szCs w:val="12"/>
          <w:lang w:val="en-GB"/>
        </w:rPr>
      </w:pPr>
    </w:p>
    <w:p w:rsidR="00985706" w:rsidRDefault="00985706">
      <w:pPr>
        <w:rPr>
          <w:vanish/>
          <w:szCs w:val="24"/>
        </w:rPr>
      </w:pPr>
    </w:p>
    <w:p w:rsidR="00985706" w:rsidRDefault="00985706">
      <w:pPr>
        <w:jc w:val="both"/>
        <w:rPr>
          <w:b/>
          <w:sz w:val="28"/>
        </w:rPr>
      </w:pPr>
      <w:r>
        <w:rPr>
          <w:b/>
          <w:sz w:val="28"/>
        </w:rPr>
        <w:br/>
      </w:r>
    </w:p>
    <w:p w:rsidR="00985706" w:rsidRDefault="00985706">
      <w:pPr>
        <w:jc w:val="both"/>
        <w:rPr>
          <w:b/>
          <w:sz w:val="28"/>
        </w:rPr>
      </w:pPr>
    </w:p>
    <w:p w:rsidR="00985706" w:rsidRDefault="00985706">
      <w:pPr>
        <w:jc w:val="both"/>
        <w:rPr>
          <w:b/>
          <w:sz w:val="28"/>
        </w:rPr>
      </w:pPr>
      <w:r>
        <w:rPr>
          <w:b/>
          <w:sz w:val="28"/>
        </w:rPr>
        <w:t>Project Approach</w:t>
      </w:r>
    </w:p>
    <w:p w:rsidR="00985706" w:rsidRDefault="00985706">
      <w:pPr>
        <w:jc w:val="both"/>
        <w:rPr>
          <w:b/>
        </w:rPr>
      </w:pPr>
    </w:p>
    <w:p w:rsidR="00985706" w:rsidRDefault="00985706">
      <w:pPr>
        <w:jc w:val="both"/>
      </w:pPr>
      <w:r>
        <w:t>The project will focus on the following activities with specific tasks defined for each:</w:t>
      </w:r>
    </w:p>
    <w:p w:rsidR="00985706" w:rsidRDefault="00985706">
      <w:pPr>
        <w:jc w:val="both"/>
      </w:pPr>
    </w:p>
    <w:p w:rsidR="00985706" w:rsidRDefault="00985706">
      <w:pPr>
        <w:jc w:val="both"/>
        <w:rPr>
          <w:b/>
          <w:bCs/>
        </w:rPr>
      </w:pPr>
      <w:r>
        <w:rPr>
          <w:b/>
          <w:bCs/>
        </w:rPr>
        <w:t>Within Scope:</w:t>
      </w:r>
    </w:p>
    <w:p w:rsidR="00985706" w:rsidRDefault="00985706">
      <w:pPr>
        <w:numPr>
          <w:ilvl w:val="0"/>
          <w:numId w:val="18"/>
        </w:numPr>
      </w:pPr>
      <w:r>
        <w:t>Project Planning</w:t>
      </w:r>
    </w:p>
    <w:p w:rsidR="00985706" w:rsidRDefault="00985706">
      <w:pPr>
        <w:ind w:left="720"/>
      </w:pPr>
      <w:r>
        <w:rPr>
          <w:szCs w:val="13"/>
        </w:rPr>
        <w:t xml:space="preserve">• </w:t>
      </w:r>
      <w:r>
        <w:t>Finalize team</w:t>
      </w:r>
    </w:p>
    <w:p w:rsidR="00985706" w:rsidRDefault="00985706">
      <w:pPr>
        <w:ind w:left="720"/>
      </w:pPr>
      <w:r>
        <w:rPr>
          <w:szCs w:val="13"/>
        </w:rPr>
        <w:t xml:space="preserve">• </w:t>
      </w:r>
      <w:r>
        <w:t xml:space="preserve">Develop </w:t>
      </w:r>
      <w:proofErr w:type="spellStart"/>
      <w:r>
        <w:t>workplan</w:t>
      </w:r>
      <w:proofErr w:type="spellEnd"/>
    </w:p>
    <w:p w:rsidR="00985706" w:rsidRDefault="00985706">
      <w:pPr>
        <w:rPr>
          <w:szCs w:val="12"/>
        </w:rPr>
      </w:pPr>
      <w:r>
        <w:rPr>
          <w:szCs w:val="12"/>
        </w:rPr>
        <w:t>– Internal Products</w:t>
      </w:r>
    </w:p>
    <w:p w:rsidR="00985706" w:rsidRDefault="00985706">
      <w:pPr>
        <w:tabs>
          <w:tab w:val="left" w:pos="1080"/>
        </w:tabs>
        <w:ind w:left="720"/>
        <w:rPr>
          <w:szCs w:val="12"/>
        </w:rPr>
      </w:pPr>
      <w:r>
        <w:rPr>
          <w:szCs w:val="13"/>
        </w:rPr>
        <w:t xml:space="preserve">• </w:t>
      </w:r>
      <w:r>
        <w:rPr>
          <w:szCs w:val="12"/>
        </w:rPr>
        <w:t>Obtain pricing schedules for INB- 2 schedules, LB and FGB</w:t>
      </w:r>
    </w:p>
    <w:p w:rsidR="00985706" w:rsidRDefault="00985706">
      <w:pPr>
        <w:tabs>
          <w:tab w:val="left" w:pos="1080"/>
        </w:tabs>
        <w:ind w:left="720"/>
        <w:rPr>
          <w:szCs w:val="12"/>
        </w:rPr>
      </w:pPr>
      <w:r>
        <w:rPr>
          <w:szCs w:val="13"/>
        </w:rPr>
        <w:t xml:space="preserve">• </w:t>
      </w:r>
      <w:r>
        <w:rPr>
          <w:szCs w:val="12"/>
        </w:rPr>
        <w:t xml:space="preserve">Meet with INB, LB and </w:t>
      </w:r>
      <w:proofErr w:type="gramStart"/>
      <w:r>
        <w:rPr>
          <w:szCs w:val="12"/>
        </w:rPr>
        <w:t>FGB  product</w:t>
      </w:r>
      <w:proofErr w:type="gramEnd"/>
      <w:r>
        <w:rPr>
          <w:szCs w:val="12"/>
        </w:rPr>
        <w:t xml:space="preserve"> management</w:t>
      </w:r>
    </w:p>
    <w:p w:rsidR="00985706" w:rsidRDefault="00985706">
      <w:pPr>
        <w:tabs>
          <w:tab w:val="left" w:pos="1080"/>
        </w:tabs>
        <w:ind w:left="720"/>
        <w:rPr>
          <w:szCs w:val="12"/>
        </w:rPr>
      </w:pPr>
      <w:r>
        <w:rPr>
          <w:szCs w:val="13"/>
        </w:rPr>
        <w:t xml:space="preserve">• </w:t>
      </w:r>
      <w:r>
        <w:rPr>
          <w:szCs w:val="12"/>
        </w:rPr>
        <w:t>Determine similarities and differences in price points (e.g. names of products</w:t>
      </w:r>
      <w:proofErr w:type="gramStart"/>
      <w:r>
        <w:rPr>
          <w:szCs w:val="12"/>
        </w:rPr>
        <w:t>,  pricing</w:t>
      </w:r>
      <w:proofErr w:type="gramEnd"/>
      <w:r>
        <w:rPr>
          <w:szCs w:val="12"/>
        </w:rPr>
        <w:t xml:space="preserve"> features)</w:t>
      </w:r>
    </w:p>
    <w:p w:rsidR="00985706" w:rsidRDefault="00985706">
      <w:pPr>
        <w:rPr>
          <w:szCs w:val="12"/>
        </w:rPr>
      </w:pPr>
      <w:r>
        <w:rPr>
          <w:szCs w:val="12"/>
        </w:rPr>
        <w:t>– Competitors</w:t>
      </w:r>
    </w:p>
    <w:p w:rsidR="00985706" w:rsidRDefault="00985706">
      <w:pPr>
        <w:tabs>
          <w:tab w:val="left" w:pos="1080"/>
        </w:tabs>
        <w:ind w:left="720"/>
        <w:rPr>
          <w:szCs w:val="12"/>
        </w:rPr>
      </w:pPr>
      <w:r>
        <w:rPr>
          <w:szCs w:val="13"/>
        </w:rPr>
        <w:t xml:space="preserve">• </w:t>
      </w:r>
      <w:r>
        <w:rPr>
          <w:szCs w:val="12"/>
        </w:rPr>
        <w:t>Research competitor pricing</w:t>
      </w:r>
    </w:p>
    <w:p w:rsidR="00985706" w:rsidRDefault="00985706">
      <w:pPr>
        <w:rPr>
          <w:szCs w:val="12"/>
        </w:rPr>
      </w:pPr>
      <w:r>
        <w:rPr>
          <w:szCs w:val="12"/>
        </w:rPr>
        <w:t>– Sensitivity Analysis</w:t>
      </w:r>
    </w:p>
    <w:p w:rsidR="00985706" w:rsidRDefault="00985706">
      <w:pPr>
        <w:ind w:left="720"/>
        <w:rPr>
          <w:szCs w:val="12"/>
        </w:rPr>
      </w:pPr>
      <w:r>
        <w:rPr>
          <w:szCs w:val="13"/>
        </w:rPr>
        <w:t xml:space="preserve">• </w:t>
      </w:r>
      <w:r>
        <w:rPr>
          <w:szCs w:val="12"/>
        </w:rPr>
        <w:t>Work with product management to define sensitivity scenarios</w:t>
      </w:r>
    </w:p>
    <w:p w:rsidR="00985706" w:rsidRDefault="00985706">
      <w:pPr>
        <w:ind w:left="720"/>
        <w:rPr>
          <w:szCs w:val="12"/>
        </w:rPr>
      </w:pPr>
      <w:r>
        <w:rPr>
          <w:szCs w:val="13"/>
        </w:rPr>
        <w:t xml:space="preserve">• </w:t>
      </w:r>
      <w:r>
        <w:rPr>
          <w:szCs w:val="12"/>
        </w:rPr>
        <w:t>Build pricing model</w:t>
      </w:r>
    </w:p>
    <w:p w:rsidR="00985706" w:rsidRDefault="00985706">
      <w:pPr>
        <w:ind w:left="720"/>
        <w:rPr>
          <w:szCs w:val="12"/>
        </w:rPr>
      </w:pPr>
      <w:r>
        <w:rPr>
          <w:szCs w:val="13"/>
        </w:rPr>
        <w:t xml:space="preserve">• </w:t>
      </w:r>
      <w:r>
        <w:rPr>
          <w:szCs w:val="12"/>
        </w:rPr>
        <w:t>Determine impact of specialized pricing</w:t>
      </w:r>
    </w:p>
    <w:p w:rsidR="00985706" w:rsidRDefault="00985706">
      <w:pPr>
        <w:numPr>
          <w:ilvl w:val="0"/>
          <w:numId w:val="18"/>
        </w:numPr>
        <w:rPr>
          <w:szCs w:val="12"/>
        </w:rPr>
      </w:pPr>
      <w:r>
        <w:rPr>
          <w:szCs w:val="12"/>
        </w:rPr>
        <w:t>Executive Presentation</w:t>
      </w:r>
    </w:p>
    <w:p w:rsidR="00985706" w:rsidRDefault="00985706">
      <w:pPr>
        <w:ind w:left="720"/>
        <w:rPr>
          <w:szCs w:val="12"/>
        </w:rPr>
      </w:pPr>
      <w:r>
        <w:rPr>
          <w:szCs w:val="13"/>
        </w:rPr>
        <w:t xml:space="preserve">• </w:t>
      </w:r>
      <w:r>
        <w:rPr>
          <w:szCs w:val="12"/>
        </w:rPr>
        <w:t>Prepare Executive Presentation with summary of analysis and recommendations</w:t>
      </w:r>
    </w:p>
    <w:p w:rsidR="00985706" w:rsidRDefault="00985706">
      <w:pPr>
        <w:ind w:left="720"/>
        <w:rPr>
          <w:szCs w:val="12"/>
        </w:rPr>
      </w:pPr>
      <w:r>
        <w:rPr>
          <w:szCs w:val="13"/>
        </w:rPr>
        <w:t>• Present to Executives</w:t>
      </w:r>
    </w:p>
    <w:p w:rsidR="00985706" w:rsidRDefault="00985706">
      <w:pPr>
        <w:pStyle w:val="Footer"/>
        <w:tabs>
          <w:tab w:val="clear" w:pos="4320"/>
          <w:tab w:val="clear" w:pos="8640"/>
        </w:tabs>
        <w:rPr>
          <w:szCs w:val="12"/>
        </w:rPr>
      </w:pPr>
    </w:p>
    <w:p w:rsidR="00985706" w:rsidRDefault="00985706">
      <w:pPr>
        <w:jc w:val="both"/>
      </w:pPr>
      <w:r>
        <w:t>Deliverables from this phase include:</w:t>
      </w:r>
    </w:p>
    <w:p w:rsidR="00985706" w:rsidRDefault="00985706">
      <w:pPr>
        <w:numPr>
          <w:ilvl w:val="0"/>
          <w:numId w:val="16"/>
        </w:numPr>
        <w:jc w:val="both"/>
      </w:pPr>
      <w:r>
        <w:t>Pricing Matrix - compares the various pricing schedules identified</w:t>
      </w:r>
    </w:p>
    <w:p w:rsidR="00985706" w:rsidRDefault="00985706">
      <w:pPr>
        <w:numPr>
          <w:ilvl w:val="0"/>
          <w:numId w:val="16"/>
        </w:numPr>
        <w:jc w:val="both"/>
      </w:pPr>
      <w:r>
        <w:t xml:space="preserve">Executive Presentation – highlights findings and recommendations from analysis performed  </w:t>
      </w:r>
    </w:p>
    <w:p w:rsidR="00985706" w:rsidRDefault="00985706">
      <w:pPr>
        <w:rPr>
          <w:b/>
          <w:bCs/>
          <w:szCs w:val="12"/>
        </w:rPr>
      </w:pPr>
    </w:p>
    <w:p w:rsidR="00985706" w:rsidRDefault="00985706">
      <w:pPr>
        <w:rPr>
          <w:b/>
          <w:bCs/>
          <w:szCs w:val="12"/>
        </w:rPr>
      </w:pPr>
      <w:r>
        <w:rPr>
          <w:b/>
          <w:bCs/>
          <w:szCs w:val="12"/>
        </w:rPr>
        <w:t>Outside of Scope (Phase II)</w:t>
      </w:r>
    </w:p>
    <w:p w:rsidR="00985706" w:rsidRDefault="00985706">
      <w:pPr>
        <w:rPr>
          <w:szCs w:val="12"/>
        </w:rPr>
      </w:pPr>
      <w:r>
        <w:rPr>
          <w:szCs w:val="12"/>
        </w:rPr>
        <w:t>– Customer communication plan</w:t>
      </w:r>
    </w:p>
    <w:p w:rsidR="00985706" w:rsidRDefault="00985706">
      <w:pPr>
        <w:ind w:left="720"/>
        <w:rPr>
          <w:szCs w:val="12"/>
        </w:rPr>
      </w:pPr>
      <w:r>
        <w:rPr>
          <w:szCs w:val="13"/>
        </w:rPr>
        <w:t xml:space="preserve">• </w:t>
      </w:r>
      <w:r>
        <w:rPr>
          <w:szCs w:val="12"/>
        </w:rPr>
        <w:t>Conduct internal training on price point changes</w:t>
      </w:r>
    </w:p>
    <w:p w:rsidR="00985706" w:rsidRDefault="00985706">
      <w:pPr>
        <w:ind w:left="720"/>
        <w:rPr>
          <w:szCs w:val="12"/>
        </w:rPr>
      </w:pPr>
      <w:r>
        <w:rPr>
          <w:szCs w:val="13"/>
        </w:rPr>
        <w:t xml:space="preserve">• </w:t>
      </w:r>
      <w:r>
        <w:rPr>
          <w:szCs w:val="12"/>
        </w:rPr>
        <w:t>Develop communications to customers</w:t>
      </w:r>
    </w:p>
    <w:p w:rsidR="00985706" w:rsidRDefault="00985706">
      <w:pPr>
        <w:rPr>
          <w:szCs w:val="12"/>
        </w:rPr>
      </w:pPr>
      <w:r>
        <w:rPr>
          <w:szCs w:val="12"/>
        </w:rPr>
        <w:t xml:space="preserve">– Implement New Pricing </w:t>
      </w:r>
    </w:p>
    <w:p w:rsidR="00985706" w:rsidRDefault="00985706">
      <w:pPr>
        <w:ind w:left="720"/>
        <w:rPr>
          <w:szCs w:val="12"/>
        </w:rPr>
      </w:pPr>
      <w:r>
        <w:rPr>
          <w:szCs w:val="13"/>
        </w:rPr>
        <w:t xml:space="preserve">• </w:t>
      </w:r>
      <w:r>
        <w:rPr>
          <w:szCs w:val="12"/>
        </w:rPr>
        <w:t>Propose new pricing scenario to Executive Management (</w:t>
      </w:r>
      <w:proofErr w:type="spellStart"/>
      <w:r>
        <w:rPr>
          <w:szCs w:val="12"/>
        </w:rPr>
        <w:t>mid May</w:t>
      </w:r>
      <w:proofErr w:type="spellEnd"/>
      <w:r>
        <w:rPr>
          <w:szCs w:val="12"/>
        </w:rPr>
        <w:t>)</w:t>
      </w:r>
    </w:p>
    <w:p w:rsidR="00985706" w:rsidRDefault="00985706">
      <w:pPr>
        <w:ind w:left="720"/>
        <w:rPr>
          <w:szCs w:val="12"/>
        </w:rPr>
      </w:pPr>
      <w:r>
        <w:rPr>
          <w:szCs w:val="13"/>
        </w:rPr>
        <w:t xml:space="preserve">• </w:t>
      </w:r>
      <w:r>
        <w:rPr>
          <w:szCs w:val="12"/>
        </w:rPr>
        <w:t>Scope systems impacts of changes</w:t>
      </w:r>
    </w:p>
    <w:p w:rsidR="00985706" w:rsidRDefault="00985706">
      <w:pPr>
        <w:ind w:left="720"/>
        <w:rPr>
          <w:szCs w:val="12"/>
        </w:rPr>
      </w:pPr>
      <w:r>
        <w:rPr>
          <w:szCs w:val="13"/>
        </w:rPr>
        <w:t xml:space="preserve">• </w:t>
      </w:r>
      <w:r>
        <w:rPr>
          <w:szCs w:val="12"/>
        </w:rPr>
        <w:t>Build changes into systems (e.g. Account Analysis)</w:t>
      </w:r>
    </w:p>
    <w:p w:rsidR="00985706" w:rsidRDefault="00985706">
      <w:pPr>
        <w:ind w:left="720"/>
        <w:rPr>
          <w:szCs w:val="12"/>
        </w:rPr>
      </w:pPr>
      <w:r>
        <w:rPr>
          <w:szCs w:val="13"/>
        </w:rPr>
        <w:t xml:space="preserve">• </w:t>
      </w:r>
      <w:r>
        <w:rPr>
          <w:szCs w:val="12"/>
        </w:rPr>
        <w:t>Go Live (10/11)</w:t>
      </w:r>
    </w:p>
    <w:p w:rsidR="00985706" w:rsidRDefault="00985706">
      <w:pPr>
        <w:rPr>
          <w:szCs w:val="24"/>
        </w:rPr>
      </w:pPr>
    </w:p>
    <w:p w:rsidR="00985706" w:rsidRDefault="00985706">
      <w:pPr>
        <w:rPr>
          <w:vanish/>
          <w:szCs w:val="24"/>
        </w:rPr>
      </w:pPr>
    </w:p>
    <w:p w:rsidR="00985706" w:rsidRDefault="00985706">
      <w:pPr>
        <w:jc w:val="both"/>
        <w:rPr>
          <w:b/>
          <w:sz w:val="28"/>
        </w:rPr>
      </w:pPr>
    </w:p>
    <w:p w:rsidR="00985706" w:rsidRDefault="00985706">
      <w:pPr>
        <w:jc w:val="both"/>
        <w:rPr>
          <w:b/>
          <w:sz w:val="28"/>
        </w:rPr>
      </w:pPr>
    </w:p>
    <w:p w:rsidR="00985706" w:rsidRDefault="00985706">
      <w:pPr>
        <w:jc w:val="both"/>
        <w:rPr>
          <w:b/>
          <w:sz w:val="28"/>
        </w:rPr>
      </w:pPr>
    </w:p>
    <w:p w:rsidR="00985706" w:rsidRDefault="00985706">
      <w:pPr>
        <w:jc w:val="both"/>
        <w:rPr>
          <w:b/>
          <w:sz w:val="28"/>
        </w:rPr>
      </w:pPr>
    </w:p>
    <w:p w:rsidR="00985706" w:rsidRDefault="00985706">
      <w:pPr>
        <w:jc w:val="both"/>
        <w:rPr>
          <w:b/>
          <w:sz w:val="28"/>
        </w:rPr>
      </w:pPr>
    </w:p>
    <w:p w:rsidR="00985706" w:rsidRDefault="00985706">
      <w:pPr>
        <w:jc w:val="both"/>
        <w:rPr>
          <w:b/>
          <w:sz w:val="28"/>
        </w:rPr>
      </w:pPr>
      <w:r>
        <w:rPr>
          <w:b/>
          <w:sz w:val="28"/>
        </w:rPr>
        <w:lastRenderedPageBreak/>
        <w:t>Project Staffing</w:t>
      </w:r>
    </w:p>
    <w:p w:rsidR="00985706" w:rsidRDefault="00985706">
      <w:pPr>
        <w:jc w:val="both"/>
      </w:pPr>
    </w:p>
    <w:p w:rsidR="00985706" w:rsidRDefault="00985706">
      <w:pPr>
        <w:jc w:val="both"/>
        <w:rPr>
          <w:b/>
          <w:bCs/>
        </w:rPr>
      </w:pPr>
      <w:r>
        <w:rPr>
          <w:b/>
          <w:bCs/>
        </w:rPr>
        <w:t>XYZ Resources</w:t>
      </w:r>
    </w:p>
    <w:p w:rsidR="00985706" w:rsidRDefault="00985706">
      <w:pPr>
        <w:jc w:val="both"/>
        <w:rPr>
          <w:b/>
        </w:rPr>
      </w:pPr>
      <w:r>
        <w:t xml:space="preserve">Linus O’Reilly will be the coordinating Vice President responsible for the project.  </w:t>
      </w:r>
      <w:proofErr w:type="spellStart"/>
      <w:r>
        <w:t>Conor</w:t>
      </w:r>
      <w:proofErr w:type="spellEnd"/>
      <w:r>
        <w:t xml:space="preserve"> Jones will be the engagement director and provide overall project direction. Jess McDonald will be the project manager and analyst on the engagement. </w:t>
      </w:r>
    </w:p>
    <w:p w:rsidR="00985706" w:rsidRDefault="00985706">
      <w:pPr>
        <w:jc w:val="both"/>
        <w:rPr>
          <w:b/>
        </w:rPr>
      </w:pPr>
    </w:p>
    <w:p w:rsidR="00985706" w:rsidRDefault="00DE78D5">
      <w:pPr>
        <w:jc w:val="both"/>
        <w:rPr>
          <w:b/>
        </w:rPr>
      </w:pPr>
      <w:r>
        <w:rPr>
          <w:b/>
        </w:rPr>
        <w:t>Bank 123</w:t>
      </w:r>
      <w:r w:rsidR="00985706">
        <w:rPr>
          <w:b/>
        </w:rPr>
        <w:t xml:space="preserve"> Resources</w:t>
      </w:r>
    </w:p>
    <w:p w:rsidR="00985706" w:rsidRDefault="00985706">
      <w:pPr>
        <w:jc w:val="both"/>
        <w:rPr>
          <w:b/>
        </w:rPr>
      </w:pPr>
    </w:p>
    <w:p w:rsidR="00985706" w:rsidRDefault="00985706">
      <w:pPr>
        <w:jc w:val="both"/>
      </w:pPr>
      <w:r>
        <w:t>BANK 123 will provide the following resources to assist in identifying the existing Bank 123, and developing the final Executive presentation:</w:t>
      </w:r>
    </w:p>
    <w:p w:rsidR="00985706" w:rsidRDefault="00985706">
      <w:pPr>
        <w:numPr>
          <w:ilvl w:val="0"/>
          <w:numId w:val="1"/>
        </w:numPr>
        <w:ind w:left="720" w:hanging="360"/>
        <w:jc w:val="both"/>
      </w:pPr>
      <w:r>
        <w:t>Linda Peters</w:t>
      </w:r>
    </w:p>
    <w:p w:rsidR="00985706" w:rsidRDefault="00985706">
      <w:pPr>
        <w:numPr>
          <w:ilvl w:val="0"/>
          <w:numId w:val="1"/>
        </w:numPr>
        <w:ind w:left="720" w:hanging="360"/>
        <w:jc w:val="both"/>
        <w:rPr>
          <w:sz w:val="28"/>
        </w:rPr>
      </w:pPr>
      <w:r>
        <w:t>Brett Downs</w:t>
      </w:r>
    </w:p>
    <w:p w:rsidR="00985706" w:rsidRDefault="00985706">
      <w:pPr>
        <w:jc w:val="both"/>
        <w:rPr>
          <w:b/>
        </w:rPr>
      </w:pPr>
      <w:r>
        <w:rPr>
          <w:b/>
          <w:sz w:val="28"/>
        </w:rPr>
        <w:br/>
      </w:r>
      <w:r w:rsidR="00DE78D5">
        <w:rPr>
          <w:b/>
          <w:sz w:val="28"/>
        </w:rPr>
        <w:t xml:space="preserve">Bank 123 </w:t>
      </w:r>
      <w:r>
        <w:rPr>
          <w:b/>
          <w:sz w:val="28"/>
        </w:rPr>
        <w:t>Responsibilities</w:t>
      </w:r>
    </w:p>
    <w:p w:rsidR="00985706" w:rsidRDefault="00985706">
      <w:pPr>
        <w:jc w:val="both"/>
      </w:pPr>
    </w:p>
    <w:p w:rsidR="00985706" w:rsidRDefault="00985706">
      <w:pPr>
        <w:jc w:val="both"/>
      </w:pPr>
      <w:r>
        <w:t xml:space="preserve">Firm XYZ will provide the services outlined above within the time period specified and in the prescribed manner, provided that Bank 123 can ensure that requested data and staff resources will be available in a timely and consistent fashion. </w:t>
      </w:r>
    </w:p>
    <w:p w:rsidR="00985706" w:rsidRDefault="00985706">
      <w:pPr>
        <w:jc w:val="both"/>
      </w:pPr>
    </w:p>
    <w:p w:rsidR="00985706" w:rsidRDefault="00985706">
      <w:pPr>
        <w:pStyle w:val="Body"/>
      </w:pPr>
      <w:r>
        <w:t>Bank 123 will need to ensure:</w:t>
      </w:r>
    </w:p>
    <w:p w:rsidR="00985706" w:rsidRDefault="00985706">
      <w:pPr>
        <w:pStyle w:val="Body"/>
        <w:numPr>
          <w:ilvl w:val="0"/>
          <w:numId w:val="2"/>
        </w:numPr>
      </w:pPr>
      <w:r>
        <w:t>Pricing schedules for Indiana National, Lowell Bank and Fort Gratiot Bank are available; and,</w:t>
      </w:r>
    </w:p>
    <w:p w:rsidR="00985706" w:rsidRDefault="00985706">
      <w:pPr>
        <w:pStyle w:val="Body"/>
        <w:numPr>
          <w:ilvl w:val="0"/>
          <w:numId w:val="2"/>
        </w:numPr>
      </w:pPr>
      <w:r>
        <w:t>Resources identified above are available and committed to resolving issues that arise.</w:t>
      </w:r>
    </w:p>
    <w:p w:rsidR="00985706" w:rsidRDefault="00985706">
      <w:pPr>
        <w:jc w:val="both"/>
        <w:rPr>
          <w:b/>
          <w:sz w:val="28"/>
        </w:rPr>
      </w:pPr>
    </w:p>
    <w:p w:rsidR="00985706" w:rsidRDefault="00985706">
      <w:pPr>
        <w:jc w:val="both"/>
        <w:rPr>
          <w:b/>
          <w:sz w:val="28"/>
        </w:rPr>
      </w:pPr>
    </w:p>
    <w:p w:rsidR="00985706" w:rsidRDefault="00985706">
      <w:pPr>
        <w:jc w:val="both"/>
        <w:rPr>
          <w:b/>
          <w:sz w:val="28"/>
        </w:rPr>
      </w:pPr>
      <w:r>
        <w:rPr>
          <w:b/>
          <w:sz w:val="28"/>
        </w:rPr>
        <w:t>Timing and Fees</w:t>
      </w:r>
    </w:p>
    <w:p w:rsidR="00985706" w:rsidRDefault="00985706">
      <w:pPr>
        <w:jc w:val="both"/>
        <w:rPr>
          <w:b/>
          <w:sz w:val="28"/>
        </w:rPr>
      </w:pPr>
    </w:p>
    <w:p w:rsidR="00985706" w:rsidRDefault="00985706">
      <w:pPr>
        <w:jc w:val="both"/>
      </w:pPr>
      <w:r>
        <w:t xml:space="preserve">Based on the project approach and timeline, the activities to perform the project are estimated to take approximately eight weeks. We anticipate starting this project on </w:t>
      </w:r>
      <w:smartTag w:uri="urn:schemas-microsoft-com:office:smarttags" w:element="date">
        <w:smartTagPr>
          <w:attr w:name="Year" w:val="2001"/>
          <w:attr w:name="Day" w:val="2"/>
          <w:attr w:name="Month" w:val="4"/>
        </w:smartTagPr>
        <w:r>
          <w:t>April 2, 2001</w:t>
        </w:r>
      </w:smartTag>
      <w:r>
        <w:t xml:space="preserve">.  Our estimated fees for this project are $150,000 to $175,000 plus expenses.  </w:t>
      </w:r>
    </w:p>
    <w:p w:rsidR="00985706" w:rsidRDefault="00985706">
      <w:pPr>
        <w:jc w:val="both"/>
      </w:pPr>
    </w:p>
    <w:p w:rsidR="00985706" w:rsidRDefault="00985706">
      <w:pPr>
        <w:jc w:val="both"/>
      </w:pPr>
      <w:r>
        <w:t xml:space="preserve">We will use our best efforts to complete this project early and within our estimated fees to help you meet your business objectives.  Should the scope of the project change, or should other events occur which will cause the timeline or budget to </w:t>
      </w:r>
      <w:proofErr w:type="gramStart"/>
      <w:r>
        <w:t>change,</w:t>
      </w:r>
      <w:proofErr w:type="gramEnd"/>
      <w:r>
        <w:t xml:space="preserve"> we will discuss this situation with you prior to proceeding.  Changes in project scope will be controlled using a formal management review and approval process.</w:t>
      </w:r>
    </w:p>
    <w:p w:rsidR="00985706" w:rsidRDefault="00985706">
      <w:pPr>
        <w:jc w:val="both"/>
      </w:pPr>
    </w:p>
    <w:p w:rsidR="00985706" w:rsidRDefault="00985706">
      <w:pPr>
        <w:jc w:val="both"/>
      </w:pPr>
      <w:r>
        <w:t>It is our practice to estimate and bill for our professional fees in advance on a monthly basis.  Related business expenses will be billed monthly, as incurred, in addition to our professional fees.</w:t>
      </w:r>
    </w:p>
    <w:p w:rsidR="00985706" w:rsidRDefault="00985706">
      <w:pPr>
        <w:jc w:val="both"/>
      </w:pPr>
    </w:p>
    <w:p w:rsidR="00985706" w:rsidRDefault="00985706">
      <w:pPr>
        <w:jc w:val="both"/>
      </w:pPr>
      <w:r>
        <w:t xml:space="preserve">We look forward to continued work with you and the opportunity to provide the resources, methods, tools and leadership required for your success.  We ask that you </w:t>
      </w:r>
      <w:r>
        <w:lastRenderedPageBreak/>
        <w:t xml:space="preserve">indicate your understanding of this letter and Firm XYZ’s participation in the Cash Management Pricing Assessment project by signing below.  If you have any questions, please contact Linus O’Reilly (312-989-2444) or </w:t>
      </w:r>
      <w:proofErr w:type="spellStart"/>
      <w:r>
        <w:t>Conor</w:t>
      </w:r>
      <w:proofErr w:type="spellEnd"/>
      <w:r>
        <w:t xml:space="preserve"> Jones (312-989-2443). </w:t>
      </w:r>
    </w:p>
    <w:p w:rsidR="00985706" w:rsidRDefault="00985706">
      <w:pPr>
        <w:jc w:val="both"/>
      </w:pPr>
    </w:p>
    <w:p w:rsidR="00985706" w:rsidRDefault="00985706">
      <w:pPr>
        <w:jc w:val="both"/>
      </w:pPr>
    </w:p>
    <w:p w:rsidR="00985706" w:rsidRDefault="00985706">
      <w:pPr>
        <w:jc w:val="both"/>
      </w:pPr>
      <w:r>
        <w:t>Sincerely,</w:t>
      </w:r>
    </w:p>
    <w:p w:rsidR="00985706" w:rsidRDefault="00985706">
      <w:pPr>
        <w:jc w:val="both"/>
      </w:pPr>
    </w:p>
    <w:p w:rsidR="00985706" w:rsidRDefault="00985706">
      <w:pPr>
        <w:jc w:val="both"/>
      </w:pPr>
    </w:p>
    <w:p w:rsidR="00985706" w:rsidRDefault="00985706">
      <w:pPr>
        <w:jc w:val="both"/>
      </w:pPr>
    </w:p>
    <w:p w:rsidR="00985706" w:rsidRDefault="00985706">
      <w:pPr>
        <w:jc w:val="both"/>
      </w:pPr>
      <w:r>
        <w:t>Linus O’Reilly</w:t>
      </w:r>
    </w:p>
    <w:p w:rsidR="00985706" w:rsidRDefault="00985706">
      <w:pPr>
        <w:jc w:val="both"/>
      </w:pPr>
      <w:r>
        <w:t>Vice President</w:t>
      </w:r>
    </w:p>
    <w:p w:rsidR="00985706" w:rsidRDefault="00985706">
      <w:pPr>
        <w:jc w:val="both"/>
      </w:pPr>
      <w:r>
        <w:t>Firm XYZ</w:t>
      </w:r>
    </w:p>
    <w:p w:rsidR="00985706" w:rsidRDefault="00985706">
      <w:pPr>
        <w:jc w:val="both"/>
      </w:pPr>
    </w:p>
    <w:p w:rsidR="00985706" w:rsidRDefault="00985706">
      <w:pPr>
        <w:ind w:firstLine="5040"/>
        <w:jc w:val="both"/>
        <w:rPr>
          <w:b/>
        </w:rPr>
      </w:pPr>
    </w:p>
    <w:p w:rsidR="00985706" w:rsidRDefault="00985706">
      <w:pPr>
        <w:jc w:val="both"/>
        <w:rPr>
          <w:b/>
        </w:rPr>
      </w:pPr>
    </w:p>
    <w:p w:rsidR="00985706" w:rsidRDefault="00985706">
      <w:pPr>
        <w:jc w:val="both"/>
        <w:rPr>
          <w:b/>
        </w:rPr>
      </w:pPr>
    </w:p>
    <w:p w:rsidR="00985706" w:rsidRDefault="00985706">
      <w:pPr>
        <w:jc w:val="both"/>
      </w:pPr>
      <w:r>
        <w:rPr>
          <w:b/>
        </w:rPr>
        <w:t>Authorization to Proceed</w:t>
      </w:r>
    </w:p>
    <w:p w:rsidR="00985706" w:rsidRDefault="00985706">
      <w:pPr>
        <w:jc w:val="both"/>
      </w:pPr>
    </w:p>
    <w:p w:rsidR="00985706" w:rsidRDefault="00985706">
      <w:pPr>
        <w:jc w:val="both"/>
      </w:pPr>
      <w:r>
        <w:t>I agree to the scope and terms of this letter and I accept Firm XYZ’s proposal to proceed with this project.</w:t>
      </w:r>
    </w:p>
    <w:p w:rsidR="00985706" w:rsidRDefault="00985706">
      <w:pPr>
        <w:jc w:val="both"/>
      </w:pPr>
    </w:p>
    <w:p w:rsidR="00985706" w:rsidRDefault="00985706">
      <w:pPr>
        <w:jc w:val="both"/>
      </w:pPr>
    </w:p>
    <w:p w:rsidR="00985706" w:rsidRDefault="00985706">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tab/>
      </w:r>
    </w:p>
    <w:p w:rsidR="00985706" w:rsidRDefault="00985706">
      <w:pPr>
        <w:jc w:val="both"/>
      </w:pPr>
      <w:r>
        <w:t>Senior Vice President, Bank 123</w:t>
      </w:r>
      <w:r>
        <w:tab/>
      </w:r>
      <w:r>
        <w:tab/>
      </w:r>
      <w:r>
        <w:tab/>
      </w:r>
      <w:r>
        <w:tab/>
      </w:r>
      <w:r>
        <w:tab/>
      </w:r>
      <w:r>
        <w:tab/>
        <w:t>Date</w:t>
      </w:r>
    </w:p>
    <w:p w:rsidR="00985706" w:rsidRDefault="00985706">
      <w:pPr>
        <w:jc w:val="both"/>
      </w:pPr>
    </w:p>
    <w:p w:rsidR="00985706" w:rsidRDefault="00985706">
      <w:pPr>
        <w:jc w:val="both"/>
      </w:pPr>
    </w:p>
    <w:p w:rsidR="00985706" w:rsidRDefault="00985706">
      <w:pPr>
        <w:jc w:val="both"/>
      </w:pPr>
    </w:p>
    <w:p w:rsidR="00985706" w:rsidRDefault="00985706">
      <w:pPr>
        <w:jc w:val="both"/>
      </w:pPr>
    </w:p>
    <w:sectPr w:rsidR="00985706">
      <w:headerReference w:type="default" r:id="rId9"/>
      <w:pgSz w:w="12240" w:h="15840" w:code="1"/>
      <w:pgMar w:top="2160" w:right="1800" w:bottom="108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D3F" w:rsidRDefault="004E5D3F">
      <w:r>
        <w:separator/>
      </w:r>
    </w:p>
  </w:endnote>
  <w:endnote w:type="continuationSeparator" w:id="0">
    <w:p w:rsidR="004E5D3F" w:rsidRDefault="004E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D3F" w:rsidRDefault="004E5D3F">
      <w:r>
        <w:separator/>
      </w:r>
    </w:p>
  </w:footnote>
  <w:footnote w:type="continuationSeparator" w:id="0">
    <w:p w:rsidR="004E5D3F" w:rsidRDefault="004E5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0" w:rsidRDefault="004B0950">
    <w:pPr>
      <w:pStyle w:val="Header"/>
      <w:jc w:val="right"/>
    </w:pPr>
    <w:r>
      <w:t xml:space="preserve">Page </w:t>
    </w:r>
    <w:r>
      <w:fldChar w:fldCharType="begin"/>
    </w:r>
    <w:r>
      <w:instrText>PAGE</w:instrText>
    </w:r>
    <w:r>
      <w:fldChar w:fldCharType="separate"/>
    </w:r>
    <w:r w:rsidR="00603446">
      <w:rPr>
        <w:noProof/>
      </w:rPr>
      <w:t>4</w:t>
    </w:r>
    <w:r>
      <w:fldChar w:fldCharType="end"/>
    </w:r>
  </w:p>
  <w:p w:rsidR="004B0950" w:rsidRDefault="004B0950">
    <w:pPr>
      <w:pStyle w:val="Header"/>
      <w:jc w:val="right"/>
    </w:pPr>
    <w:smartTag w:uri="urn:schemas-microsoft-com:office:smarttags" w:element="date">
      <w:smartTagPr>
        <w:attr w:name="Month" w:val="3"/>
        <w:attr w:name="Day" w:val="1"/>
        <w:attr w:name="Year" w:val="2001"/>
      </w:smartTagPr>
      <w:r>
        <w:t>March 1, 2001</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90113B"/>
    <w:multiLevelType w:val="hybridMultilevel"/>
    <w:tmpl w:val="9A7ABECC"/>
    <w:lvl w:ilvl="0" w:tplc="35661AF6">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
      <w:legacy w:legacy="1" w:legacySpace="0" w:legacyIndent="360"/>
      <w:lvlJc w:val="left"/>
      <w:pPr>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9551AE"/>
    <w:multiLevelType w:val="hybridMultilevel"/>
    <w:tmpl w:val="9A7ABECC"/>
    <w:lvl w:ilvl="0" w:tplc="35661AF6">
      <w:numFmt w:val="bullet"/>
      <w:lvlText w:val="-"/>
      <w:lvlJc w:val="left"/>
      <w:pPr>
        <w:tabs>
          <w:tab w:val="num" w:pos="360"/>
        </w:tabs>
        <w:ind w:left="360" w:hanging="360"/>
      </w:pPr>
      <w:rPr>
        <w:rFonts w:ascii="Times New Roman" w:eastAsia="Times New Roman" w:hAnsi="Times New Roman" w:cs="Times New Roman" w:hint="default"/>
      </w:rPr>
    </w:lvl>
    <w:lvl w:ilvl="1" w:tplc="A8AC3DAA">
      <w:start w:val="1"/>
      <w:numFmt w:val="bullet"/>
      <w:lvlText w:val=""/>
      <w:lvlJc w:val="left"/>
      <w:pPr>
        <w:tabs>
          <w:tab w:val="num" w:pos="720"/>
        </w:tabs>
        <w:ind w:left="1080" w:hanging="360"/>
      </w:pPr>
      <w:rPr>
        <w:rFonts w:ascii="Wingdings" w:hAnsi="Wingding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58F4F17"/>
    <w:multiLevelType w:val="hybridMultilevel"/>
    <w:tmpl w:val="B156DFCA"/>
    <w:lvl w:ilvl="0" w:tplc="5DC25A08">
      <w:start w:val="1"/>
      <w:numFmt w:val="bullet"/>
      <w:lvlText w:val=""/>
      <w:lvlJc w:val="left"/>
      <w:pPr>
        <w:tabs>
          <w:tab w:val="num" w:pos="0"/>
        </w:tabs>
        <w:ind w:left="360" w:hanging="360"/>
      </w:pPr>
      <w:rPr>
        <w:rFonts w:ascii="Symbol" w:hAnsi="Symbol" w:cs="Times New Roman" w:hint="default"/>
      </w:rPr>
    </w:lvl>
    <w:lvl w:ilvl="1" w:tplc="04090003">
      <w:start w:val="1"/>
      <w:numFmt w:val="bullet"/>
      <w:lvlText w:val="o"/>
      <w:lvlJc w:val="left"/>
      <w:pPr>
        <w:tabs>
          <w:tab w:val="num" w:pos="360"/>
        </w:tabs>
        <w:ind w:left="360" w:hanging="360"/>
      </w:pPr>
      <w:rPr>
        <w:rFonts w:ascii="Courier New" w:hAnsi="Courier New" w:hint="default"/>
      </w:rPr>
    </w:lvl>
    <w:lvl w:ilvl="2" w:tplc="F0F6D852">
      <w:start w:val="1"/>
      <w:numFmt w:val="bullet"/>
      <w:lvlText w:val=""/>
      <w:lvlJc w:val="left"/>
      <w:pPr>
        <w:tabs>
          <w:tab w:val="num" w:pos="1440"/>
        </w:tabs>
        <w:ind w:left="1440" w:hanging="360"/>
      </w:pPr>
      <w:rPr>
        <w:rFonts w:ascii="Symbol" w:hAnsi="Symbol" w:cs="Times New Roman"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15B14DCC"/>
    <w:multiLevelType w:val="hybridMultilevel"/>
    <w:tmpl w:val="9A7ABECC"/>
    <w:lvl w:ilvl="0" w:tplc="35661AF6">
      <w:numFmt w:val="bullet"/>
      <w:lvlText w:val="-"/>
      <w:lvlJc w:val="left"/>
      <w:pPr>
        <w:tabs>
          <w:tab w:val="num" w:pos="360"/>
        </w:tabs>
        <w:ind w:left="360" w:hanging="360"/>
      </w:pPr>
      <w:rPr>
        <w:rFonts w:ascii="Times New Roman" w:eastAsia="Times New Roman" w:hAnsi="Times New Roman" w:cs="Times New Roman" w:hint="default"/>
      </w:rPr>
    </w:lvl>
    <w:lvl w:ilvl="1" w:tplc="54C0A66C">
      <w:start w:val="1"/>
      <w:numFmt w:val="bullet"/>
      <w:lvlText w:val=""/>
      <w:lvlJc w:val="left"/>
      <w:pPr>
        <w:tabs>
          <w:tab w:val="num" w:pos="720"/>
        </w:tabs>
        <w:ind w:left="1080" w:hanging="360"/>
      </w:pPr>
      <w:rPr>
        <w:rFonts w:ascii="Symbol"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EC5D6F"/>
    <w:multiLevelType w:val="hybridMultilevel"/>
    <w:tmpl w:val="9A7ABECC"/>
    <w:lvl w:ilvl="0" w:tplc="35661AF6">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
      <w:legacy w:legacy="1" w:legacySpace="0" w:legacyIndent="360"/>
      <w:lvlJc w:val="left"/>
      <w:pPr>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BF7090F"/>
    <w:multiLevelType w:val="hybridMultilevel"/>
    <w:tmpl w:val="A8126104"/>
    <w:lvl w:ilvl="0" w:tplc="5DC25A08">
      <w:start w:val="1"/>
      <w:numFmt w:val="bullet"/>
      <w:lvlText w:val=""/>
      <w:lvlJc w:val="left"/>
      <w:pPr>
        <w:tabs>
          <w:tab w:val="num" w:pos="0"/>
        </w:tabs>
        <w:ind w:left="360" w:hanging="360"/>
      </w:pPr>
      <w:rPr>
        <w:rFonts w:ascii="Symbol" w:hAnsi="Symbol" w:cs="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54E4324A">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CE650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2B4053B"/>
    <w:multiLevelType w:val="hybridMultilevel"/>
    <w:tmpl w:val="A8126104"/>
    <w:lvl w:ilvl="0" w:tplc="5DC25A08">
      <w:start w:val="1"/>
      <w:numFmt w:val="bullet"/>
      <w:lvlText w:val=""/>
      <w:lvlJc w:val="left"/>
      <w:pPr>
        <w:tabs>
          <w:tab w:val="num" w:pos="0"/>
        </w:tabs>
        <w:ind w:left="360" w:hanging="360"/>
      </w:pPr>
      <w:rPr>
        <w:rFonts w:ascii="Symbol" w:hAnsi="Symbol" w:cs="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5D641C54">
      <w:start w:val="1"/>
      <w:numFmt w:val="bullet"/>
      <w:lvlText w:val="·"/>
      <w:lvlJc w:val="left"/>
      <w:pPr>
        <w:tabs>
          <w:tab w:val="num" w:pos="1440"/>
        </w:tabs>
        <w:ind w:left="1440" w:hanging="360"/>
      </w:pPr>
      <w:rPr>
        <w:rFonts w:ascii="Times New Roman" w:hAnsi="Times New Roman" w:cs="Times New Roman"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2B5A4DB4"/>
    <w:multiLevelType w:val="hybridMultilevel"/>
    <w:tmpl w:val="9A7ABECC"/>
    <w:lvl w:ilvl="0" w:tplc="35661AF6">
      <w:numFmt w:val="bullet"/>
      <w:lvlText w:val="-"/>
      <w:lvlJc w:val="left"/>
      <w:pPr>
        <w:tabs>
          <w:tab w:val="num" w:pos="360"/>
        </w:tabs>
        <w:ind w:left="360" w:hanging="360"/>
      </w:pPr>
      <w:rPr>
        <w:rFonts w:ascii="Times New Roman" w:eastAsia="Times New Roman" w:hAnsi="Times New Roman" w:cs="Times New Roman"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0032B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0E622E6"/>
    <w:multiLevelType w:val="hybridMultilevel"/>
    <w:tmpl w:val="B156DFCA"/>
    <w:lvl w:ilvl="0" w:tplc="C2C47D76">
      <w:start w:val="1"/>
      <w:numFmt w:v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360"/>
        </w:tabs>
        <w:ind w:left="360" w:hanging="360"/>
      </w:pPr>
      <w:rPr>
        <w:rFonts w:ascii="Courier New" w:hAnsi="Courier New" w:hint="default"/>
      </w:rPr>
    </w:lvl>
    <w:lvl w:ilvl="2" w:tplc="F0F6D852">
      <w:start w:val="1"/>
      <w:numFmt w:val="bullet"/>
      <w:lvlText w:val=""/>
      <w:lvlJc w:val="left"/>
      <w:pPr>
        <w:tabs>
          <w:tab w:val="num" w:pos="1440"/>
        </w:tabs>
        <w:ind w:left="1440" w:hanging="360"/>
      </w:pPr>
      <w:rPr>
        <w:rFonts w:ascii="Symbol" w:hAnsi="Symbol" w:cs="Times New Roman"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3363110F"/>
    <w:multiLevelType w:val="hybridMultilevel"/>
    <w:tmpl w:val="A8126104"/>
    <w:lvl w:ilvl="0" w:tplc="5DC25A08">
      <w:start w:val="1"/>
      <w:numFmt w:val="bullet"/>
      <w:lvlText w:val=""/>
      <w:lvlJc w:val="left"/>
      <w:pPr>
        <w:tabs>
          <w:tab w:val="num" w:pos="0"/>
        </w:tabs>
        <w:ind w:left="360" w:hanging="360"/>
      </w:pPr>
      <w:rPr>
        <w:rFonts w:ascii="Symbol" w:hAnsi="Symbol" w:cs="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35A249E3"/>
    <w:multiLevelType w:val="hybridMultilevel"/>
    <w:tmpl w:val="B156DFCA"/>
    <w:lvl w:ilvl="0" w:tplc="C2C47D76">
      <w:start w:val="1"/>
      <w:numFmt w:v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38C1162A"/>
    <w:multiLevelType w:val="hybridMultilevel"/>
    <w:tmpl w:val="C22A4474"/>
    <w:lvl w:ilvl="0" w:tplc="C2FCE21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A6B4A89"/>
    <w:multiLevelType w:val="hybridMultilevel"/>
    <w:tmpl w:val="6C80053A"/>
    <w:lvl w:ilvl="0" w:tplc="C2FCE21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E536BF"/>
    <w:multiLevelType w:val="hybridMultilevel"/>
    <w:tmpl w:val="D1EE4ACA"/>
    <w:lvl w:ilvl="0" w:tplc="A8AC3DAA">
      <w:start w:val="1"/>
      <w:numFmt w:val="bullet"/>
      <w:lvlText w:val=""/>
      <w:lvlJc w:val="left"/>
      <w:pPr>
        <w:tabs>
          <w:tab w:val="num" w:pos="720"/>
        </w:tabs>
        <w:ind w:left="108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B64EAF"/>
    <w:multiLevelType w:val="hybridMultilevel"/>
    <w:tmpl w:val="A8126104"/>
    <w:lvl w:ilvl="0" w:tplc="A8AC3DAA">
      <w:start w:val="1"/>
      <w:numFmt w:val="bullet"/>
      <w:lvlText w:val=""/>
      <w:lvlJc w:val="left"/>
      <w:pPr>
        <w:tabs>
          <w:tab w:val="num" w:pos="0"/>
        </w:tabs>
        <w:ind w:left="360" w:hanging="360"/>
      </w:pPr>
      <w:rPr>
        <w:rFonts w:ascii="Wingdings" w:hAnsi="Wingdings"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51D06E2E"/>
    <w:multiLevelType w:val="hybridMultilevel"/>
    <w:tmpl w:val="A8126104"/>
    <w:lvl w:ilvl="0" w:tplc="5DC25A08">
      <w:start w:val="1"/>
      <w:numFmt w:val="bullet"/>
      <w:lvlText w:val=""/>
      <w:lvlJc w:val="left"/>
      <w:pPr>
        <w:tabs>
          <w:tab w:val="num" w:pos="0"/>
        </w:tabs>
        <w:ind w:left="360" w:hanging="360"/>
      </w:pPr>
      <w:rPr>
        <w:rFonts w:ascii="Symbol" w:hAnsi="Symbol" w:cs="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C2C47D76">
      <w:start w:val="1"/>
      <w:numFmt w:val="bullet"/>
      <w:lvlText w:val=""/>
      <w:lvlJc w:val="left"/>
      <w:pPr>
        <w:tabs>
          <w:tab w:val="num" w:pos="1440"/>
        </w:tabs>
        <w:ind w:left="1440" w:hanging="360"/>
      </w:pPr>
      <w:rPr>
        <w:rFonts w:ascii="Wingdings" w:hAnsi="Wingdings" w:cs="Times New Roman"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5C6021A6"/>
    <w:multiLevelType w:val="hybridMultilevel"/>
    <w:tmpl w:val="9A7ABECC"/>
    <w:lvl w:ilvl="0" w:tplc="35661AF6">
      <w:numFmt w:val="bullet"/>
      <w:lvlText w:val="-"/>
      <w:lvlJc w:val="left"/>
      <w:pPr>
        <w:tabs>
          <w:tab w:val="num" w:pos="360"/>
        </w:tabs>
        <w:ind w:left="360" w:hanging="360"/>
      </w:pPr>
      <w:rPr>
        <w:rFonts w:ascii="Times New Roman" w:eastAsia="Times New Roman" w:hAnsi="Times New Roman" w:cs="Times New Roman" w:hint="default"/>
      </w:rPr>
    </w:lvl>
    <w:lvl w:ilvl="1" w:tplc="54E4324A">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4E31F85"/>
    <w:multiLevelType w:val="hybridMultilevel"/>
    <w:tmpl w:val="9A7ABECC"/>
    <w:lvl w:ilvl="0" w:tplc="35661AF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AED3C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F4C6108"/>
    <w:multiLevelType w:val="hybridMultilevel"/>
    <w:tmpl w:val="9A7ABECC"/>
    <w:lvl w:ilvl="0" w:tplc="35661AF6">
      <w:numFmt w:val="bullet"/>
      <w:lvlText w:val="-"/>
      <w:lvlJc w:val="left"/>
      <w:pPr>
        <w:tabs>
          <w:tab w:val="num" w:pos="360"/>
        </w:tabs>
        <w:ind w:left="360" w:hanging="360"/>
      </w:pPr>
      <w:rPr>
        <w:rFonts w:ascii="Times New Roman" w:eastAsia="Times New Roman" w:hAnsi="Times New Roman" w:cs="Times New Roman" w:hint="default"/>
      </w:rPr>
    </w:lvl>
    <w:lvl w:ilvl="1" w:tplc="7C183C06">
      <w:start w:val="1"/>
      <w:numFmt w:val="bullet"/>
      <w:lvlText w:val="·"/>
      <w:lvlJc w:val="left"/>
      <w:pPr>
        <w:tabs>
          <w:tab w:val="num" w:pos="720"/>
        </w:tabs>
        <w:ind w:left="1080" w:hanging="360"/>
      </w:pPr>
      <w:rPr>
        <w:rFonts w:ascii="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Times New Roman" w:hAnsi="Times New Roman"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num>
  <w:num w:numId="4">
    <w:abstractNumId w:val="7"/>
  </w:num>
  <w:num w:numId="5">
    <w:abstractNumId w:val="21"/>
  </w:num>
  <w:num w:numId="6">
    <w:abstractNumId w:val="14"/>
  </w:num>
  <w:num w:numId="7">
    <w:abstractNumId w:val="15"/>
  </w:num>
  <w:num w:numId="8">
    <w:abstractNumId w:val="20"/>
  </w:num>
  <w:num w:numId="9">
    <w:abstractNumId w:val="1"/>
  </w:num>
  <w:num w:numId="10">
    <w:abstractNumId w:val="9"/>
  </w:num>
  <w:num w:numId="11">
    <w:abstractNumId w:val="19"/>
  </w:num>
  <w:num w:numId="12">
    <w:abstractNumId w:val="5"/>
  </w:num>
  <w:num w:numId="13">
    <w:abstractNumId w:val="22"/>
  </w:num>
  <w:num w:numId="14">
    <w:abstractNumId w:val="4"/>
  </w:num>
  <w:num w:numId="15">
    <w:abstractNumId w:val="2"/>
  </w:num>
  <w:num w:numId="16">
    <w:abstractNumId w:val="16"/>
  </w:num>
  <w:num w:numId="17">
    <w:abstractNumId w:val="17"/>
  </w:num>
  <w:num w:numId="18">
    <w:abstractNumId w:val="12"/>
  </w:num>
  <w:num w:numId="19">
    <w:abstractNumId w:val="6"/>
  </w:num>
  <w:num w:numId="20">
    <w:abstractNumId w:val="8"/>
  </w:num>
  <w:num w:numId="21">
    <w:abstractNumId w:val="18"/>
  </w:num>
  <w:num w:numId="22">
    <w:abstractNumId w:val="13"/>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F9"/>
    <w:rsid w:val="000D7622"/>
    <w:rsid w:val="002769A0"/>
    <w:rsid w:val="002F37A2"/>
    <w:rsid w:val="004B0950"/>
    <w:rsid w:val="004E5D3F"/>
    <w:rsid w:val="005B02A9"/>
    <w:rsid w:val="00603446"/>
    <w:rsid w:val="0066192D"/>
    <w:rsid w:val="007D5A16"/>
    <w:rsid w:val="00801748"/>
    <w:rsid w:val="00985706"/>
    <w:rsid w:val="00AF5219"/>
    <w:rsid w:val="00B1445D"/>
    <w:rsid w:val="00C21BF9"/>
    <w:rsid w:val="00DE78D5"/>
    <w:rsid w:val="00E7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Indent1">
    <w:name w:val="Indent1"/>
    <w:basedOn w:val="Normal"/>
    <w:pPr>
      <w:ind w:left="720"/>
    </w:pPr>
  </w:style>
  <w:style w:type="paragraph" w:customStyle="1" w:styleId="Indent2">
    <w:name w:val="Indent2"/>
    <w:basedOn w:val="Normal"/>
    <w:pPr>
      <w:ind w:left="1440"/>
    </w:pPr>
  </w:style>
  <w:style w:type="paragraph" w:customStyle="1" w:styleId="Indent3">
    <w:name w:val="Indent3"/>
    <w:basedOn w:val="Normal"/>
    <w:pPr>
      <w:ind w:left="1800"/>
    </w:pPr>
  </w:style>
  <w:style w:type="paragraph" w:customStyle="1" w:styleId="Indent4">
    <w:name w:val="Indent4"/>
    <w:basedOn w:val="Normal"/>
    <w:pPr>
      <w:ind w:left="2160"/>
    </w:pPr>
  </w:style>
  <w:style w:type="paragraph" w:customStyle="1" w:styleId="Bullet1">
    <w:name w:val="Bullet1"/>
    <w:basedOn w:val="Indent1"/>
    <w:pPr>
      <w:ind w:hanging="288"/>
    </w:pPr>
  </w:style>
  <w:style w:type="paragraph" w:customStyle="1" w:styleId="Bullet2">
    <w:name w:val="Bullet2"/>
    <w:basedOn w:val="Indent2"/>
    <w:pPr>
      <w:ind w:hanging="288"/>
    </w:pPr>
  </w:style>
  <w:style w:type="paragraph" w:customStyle="1" w:styleId="Body">
    <w:name w:val="Body"/>
    <w:basedOn w:val="Normal"/>
    <w:pPr>
      <w:spacing w:line="280" w:lineRule="exact"/>
      <w:jc w:val="both"/>
    </w:pPr>
  </w:style>
  <w:style w:type="paragraph" w:customStyle="1" w:styleId="o">
    <w:name w:val="o"/>
    <w:basedOn w:val="Normal"/>
    <w:pPr>
      <w:ind w:left="1440" w:right="720" w:hanging="720"/>
      <w:jc w:val="both"/>
    </w:pPr>
    <w:rPr>
      <w:rFonts w:ascii="Tms Rmn" w:hAnsi="Tms Rmn"/>
    </w:rPr>
  </w:style>
  <w:style w:type="paragraph" w:styleId="BalloonText">
    <w:name w:val="Balloon Text"/>
    <w:basedOn w:val="Normal"/>
    <w:semiHidden/>
    <w:rsid w:val="00C21BF9"/>
    <w:rPr>
      <w:rFonts w:ascii="Tahoma" w:hAnsi="Tahoma" w:cs="Tahoma"/>
      <w:sz w:val="16"/>
      <w:szCs w:val="16"/>
    </w:rPr>
  </w:style>
  <w:style w:type="paragraph" w:styleId="Revision">
    <w:name w:val="Revision"/>
    <w:hidden/>
    <w:uiPriority w:val="99"/>
    <w:semiHidden/>
    <w:rsid w:val="0066192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Indent1">
    <w:name w:val="Indent1"/>
    <w:basedOn w:val="Normal"/>
    <w:pPr>
      <w:ind w:left="720"/>
    </w:pPr>
  </w:style>
  <w:style w:type="paragraph" w:customStyle="1" w:styleId="Indent2">
    <w:name w:val="Indent2"/>
    <w:basedOn w:val="Normal"/>
    <w:pPr>
      <w:ind w:left="1440"/>
    </w:pPr>
  </w:style>
  <w:style w:type="paragraph" w:customStyle="1" w:styleId="Indent3">
    <w:name w:val="Indent3"/>
    <w:basedOn w:val="Normal"/>
    <w:pPr>
      <w:ind w:left="1800"/>
    </w:pPr>
  </w:style>
  <w:style w:type="paragraph" w:customStyle="1" w:styleId="Indent4">
    <w:name w:val="Indent4"/>
    <w:basedOn w:val="Normal"/>
    <w:pPr>
      <w:ind w:left="2160"/>
    </w:pPr>
  </w:style>
  <w:style w:type="paragraph" w:customStyle="1" w:styleId="Bullet1">
    <w:name w:val="Bullet1"/>
    <w:basedOn w:val="Indent1"/>
    <w:pPr>
      <w:ind w:hanging="288"/>
    </w:pPr>
  </w:style>
  <w:style w:type="paragraph" w:customStyle="1" w:styleId="Bullet2">
    <w:name w:val="Bullet2"/>
    <w:basedOn w:val="Indent2"/>
    <w:pPr>
      <w:ind w:hanging="288"/>
    </w:pPr>
  </w:style>
  <w:style w:type="paragraph" w:customStyle="1" w:styleId="Body">
    <w:name w:val="Body"/>
    <w:basedOn w:val="Normal"/>
    <w:pPr>
      <w:spacing w:line="280" w:lineRule="exact"/>
      <w:jc w:val="both"/>
    </w:pPr>
  </w:style>
  <w:style w:type="paragraph" w:customStyle="1" w:styleId="o">
    <w:name w:val="o"/>
    <w:basedOn w:val="Normal"/>
    <w:pPr>
      <w:ind w:left="1440" w:right="720" w:hanging="720"/>
      <w:jc w:val="both"/>
    </w:pPr>
    <w:rPr>
      <w:rFonts w:ascii="Tms Rmn" w:hAnsi="Tms Rmn"/>
    </w:rPr>
  </w:style>
  <w:style w:type="paragraph" w:styleId="BalloonText">
    <w:name w:val="Balloon Text"/>
    <w:basedOn w:val="Normal"/>
    <w:semiHidden/>
    <w:rsid w:val="00C21BF9"/>
    <w:rPr>
      <w:rFonts w:ascii="Tahoma" w:hAnsi="Tahoma" w:cs="Tahoma"/>
      <w:sz w:val="16"/>
      <w:szCs w:val="16"/>
    </w:rPr>
  </w:style>
  <w:style w:type="paragraph" w:styleId="Revision">
    <w:name w:val="Revision"/>
    <w:hidden/>
    <w:uiPriority w:val="99"/>
    <w:semiHidden/>
    <w:rsid w:val="0066192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94378-C672-41FB-8AAA-C492484B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Cost Management LOU</vt:lpstr>
    </vt:vector>
  </TitlesOfParts>
  <Company>Ernst &amp; Young, LLP</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Management LOU</dc:title>
  <dc:creator>Thomas R. McDonnell</dc:creator>
  <cp:lastModifiedBy>Karen Larson</cp:lastModifiedBy>
  <cp:revision>4</cp:revision>
  <cp:lastPrinted>2003-02-19T16:45:00Z</cp:lastPrinted>
  <dcterms:created xsi:type="dcterms:W3CDTF">2013-09-25T20:26:00Z</dcterms:created>
  <dcterms:modified xsi:type="dcterms:W3CDTF">2013-09-25T20:43:00Z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-1367099911</vt:i4>
  </property>
  <property fmtid="{D5CDD505-2E9C-101B-9397-08002B2CF9AE}" pid="3" name="_EmailSubject">
    <vt:lpwstr>LOU's</vt:lpwstr>
  </property>
  <property fmtid="{D5CDD505-2E9C-101B-9397-08002B2CF9AE}" pid="4" name="_AuthorEmail">
    <vt:lpwstr>jlovett@charterconsult.com</vt:lpwstr>
  </property>
  <property fmtid="{D5CDD505-2E9C-101B-9397-08002B2CF9AE}" pid="5" name="_AuthorEmailDisplayName">
    <vt:lpwstr>Jennifer Lovett</vt:lpwstr>
  </property>
  <property fmtid="{D5CDD505-2E9C-101B-9397-08002B2CF9AE}" pid="6" name="_ReviewingToolsShownOnce">
    <vt:lpwstr/>
  </property>
</Properties>
</file>