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436" w:rsidRDefault="00EA2436">
      <w:pPr>
        <w:pStyle w:val="Heading1"/>
        <w:jc w:val="center"/>
        <w:rPr>
          <w:b/>
          <w:sz w:val="24"/>
          <w:u w:val="none"/>
        </w:rPr>
      </w:pPr>
    </w:p>
    <w:p w:rsidR="00EA2436" w:rsidRDefault="00F83506">
      <w:pPr>
        <w:pStyle w:val="Heading1"/>
        <w:jc w:val="center"/>
        <w:rPr>
          <w:b/>
          <w:sz w:val="24"/>
          <w:u w:val="none"/>
        </w:rPr>
      </w:pPr>
      <w:r>
        <w:rPr>
          <w:b/>
          <w:sz w:val="24"/>
          <w:u w:val="none"/>
        </w:rPr>
        <w:t>Game Theory and Added Value</w:t>
      </w:r>
    </w:p>
    <w:p w:rsidR="00EA2436" w:rsidRDefault="00EA2436"/>
    <w:p w:rsidR="00EA2436" w:rsidRDefault="00EA2436">
      <w:pPr>
        <w:rPr>
          <w:b/>
        </w:rPr>
      </w:pPr>
    </w:p>
    <w:p w:rsidR="00EA2436" w:rsidRDefault="00EA2436">
      <w:pPr>
        <w:pStyle w:val="Header"/>
        <w:numPr>
          <w:ilvl w:val="0"/>
          <w:numId w:val="8"/>
        </w:numPr>
        <w:tabs>
          <w:tab w:val="clear" w:pos="4320"/>
          <w:tab w:val="clear" w:pos="8640"/>
        </w:tabs>
      </w:pPr>
      <w:r>
        <w:t>Introduction</w:t>
      </w:r>
    </w:p>
    <w:p w:rsidR="00EA2436" w:rsidRDefault="00EA2436"/>
    <w:p w:rsidR="00EA2436" w:rsidRDefault="00EA2436">
      <w:pPr>
        <w:jc w:val="both"/>
      </w:pPr>
      <w:r>
        <w:rPr>
          <w:b/>
        </w:rPr>
        <w:t>Game Theory</w:t>
      </w:r>
      <w:r>
        <w:t xml:space="preserve"> is a framework for doing competitive analysis that explicitly incorporates the effects of other firms’ behavior on performance.  Using the tools of game theory, managers can develop strategies that take into account the actions, and likely reactions, of competitors.</w:t>
      </w:r>
    </w:p>
    <w:p w:rsidR="00EA2436" w:rsidRDefault="00EA2436">
      <w:pPr>
        <w:jc w:val="both"/>
      </w:pPr>
    </w:p>
    <w:p w:rsidR="00EA2436" w:rsidRDefault="00EA2436">
      <w:pPr>
        <w:jc w:val="both"/>
      </w:pPr>
      <w:r>
        <w:t xml:space="preserve">Note that game theory is not really useful for firms in perfectly competitive industries.  By definition, the behavior of one firm has no effect on the market as a whole.  Game theory is an appropriate tool when the performances of firms are </w:t>
      </w:r>
      <w:r>
        <w:rPr>
          <w:b/>
        </w:rPr>
        <w:t>interdependent</w:t>
      </w:r>
      <w:r>
        <w:t xml:space="preserve">.  This will occur only when there are a relatively small number of market participants (small number of rivals or customers or both).  </w:t>
      </w:r>
    </w:p>
    <w:p w:rsidR="00EA2436" w:rsidRDefault="00EA2436">
      <w:pPr>
        <w:jc w:val="both"/>
      </w:pPr>
    </w:p>
    <w:p w:rsidR="00EA2436" w:rsidRDefault="00EA2436">
      <w:pPr>
        <w:jc w:val="both"/>
      </w:pPr>
      <w:r>
        <w:t>Some strategic problems where game theory could be applied include:</w:t>
      </w:r>
    </w:p>
    <w:p w:rsidR="00EA2436" w:rsidRDefault="00EA2436">
      <w:pPr>
        <w:jc w:val="both"/>
      </w:pPr>
    </w:p>
    <w:p w:rsidR="00EA2436" w:rsidRDefault="00EA2436">
      <w:pPr>
        <w:numPr>
          <w:ilvl w:val="0"/>
          <w:numId w:val="9"/>
        </w:numPr>
        <w:tabs>
          <w:tab w:val="clear" w:pos="360"/>
          <w:tab w:val="num" w:pos="720"/>
        </w:tabs>
        <w:ind w:left="720"/>
        <w:jc w:val="both"/>
      </w:pPr>
      <w:r>
        <w:t>Should my firm cut prices in response to the entry of another firm?</w:t>
      </w:r>
    </w:p>
    <w:p w:rsidR="00EA2436" w:rsidRDefault="00EA2436">
      <w:pPr>
        <w:numPr>
          <w:ilvl w:val="0"/>
          <w:numId w:val="9"/>
        </w:numPr>
        <w:tabs>
          <w:tab w:val="clear" w:pos="360"/>
          <w:tab w:val="num" w:pos="1080"/>
        </w:tabs>
        <w:ind w:left="1080"/>
        <w:jc w:val="both"/>
      </w:pPr>
      <w:r>
        <w:t>Will this new entrant match the price cut?</w:t>
      </w:r>
    </w:p>
    <w:p w:rsidR="00EA2436" w:rsidRDefault="00EA2436">
      <w:pPr>
        <w:jc w:val="both"/>
      </w:pPr>
    </w:p>
    <w:p w:rsidR="00EA2436" w:rsidRDefault="00EA2436">
      <w:pPr>
        <w:numPr>
          <w:ilvl w:val="0"/>
          <w:numId w:val="11"/>
        </w:numPr>
        <w:tabs>
          <w:tab w:val="clear" w:pos="360"/>
          <w:tab w:val="num" w:pos="720"/>
        </w:tabs>
        <w:ind w:left="1080" w:hanging="720"/>
        <w:jc w:val="both"/>
      </w:pPr>
      <w:r>
        <w:t>Should my firm hold its price constant, even after its costs go down?</w:t>
      </w:r>
    </w:p>
    <w:p w:rsidR="00EA2436" w:rsidRDefault="00EA2436">
      <w:pPr>
        <w:numPr>
          <w:ilvl w:val="0"/>
          <w:numId w:val="11"/>
        </w:numPr>
        <w:tabs>
          <w:tab w:val="clear" w:pos="360"/>
          <w:tab w:val="num" w:pos="1080"/>
        </w:tabs>
        <w:ind w:left="1440" w:hanging="720"/>
        <w:jc w:val="both"/>
      </w:pPr>
      <w:r>
        <w:t>Will competitors be motivated to cut their costs and offer lower prices as well?</w:t>
      </w:r>
    </w:p>
    <w:p w:rsidR="00EA2436" w:rsidRDefault="00EA2436">
      <w:pPr>
        <w:jc w:val="both"/>
      </w:pPr>
    </w:p>
    <w:p w:rsidR="00EA2436" w:rsidRDefault="00EA2436">
      <w:pPr>
        <w:numPr>
          <w:ilvl w:val="0"/>
          <w:numId w:val="9"/>
        </w:numPr>
        <w:tabs>
          <w:tab w:val="clear" w:pos="360"/>
          <w:tab w:val="num" w:pos="720"/>
        </w:tabs>
        <w:ind w:left="720"/>
        <w:jc w:val="both"/>
      </w:pPr>
      <w:r>
        <w:t>What are the best terms of trade to establish with suppliers?</w:t>
      </w:r>
    </w:p>
    <w:p w:rsidR="00EA2436" w:rsidRDefault="00EA2436">
      <w:pPr>
        <w:numPr>
          <w:ilvl w:val="0"/>
          <w:numId w:val="9"/>
        </w:numPr>
        <w:tabs>
          <w:tab w:val="clear" w:pos="360"/>
          <w:tab w:val="num" w:pos="1080"/>
        </w:tabs>
        <w:ind w:left="1080"/>
        <w:jc w:val="both"/>
      </w:pPr>
      <w:r>
        <w:t>Is it possible to trigger a price war among them?</w:t>
      </w:r>
    </w:p>
    <w:p w:rsidR="00EA2436" w:rsidRDefault="00EA2436">
      <w:pPr>
        <w:jc w:val="both"/>
      </w:pPr>
    </w:p>
    <w:p w:rsidR="00EA2436" w:rsidRDefault="00EA2436">
      <w:pPr>
        <w:numPr>
          <w:ilvl w:val="0"/>
          <w:numId w:val="11"/>
        </w:numPr>
        <w:tabs>
          <w:tab w:val="clear" w:pos="360"/>
          <w:tab w:val="num" w:pos="720"/>
        </w:tabs>
        <w:ind w:left="1080" w:hanging="720"/>
        <w:jc w:val="both"/>
      </w:pPr>
      <w:r>
        <w:t>What is the best way to get our technologies adopted as the industry “standard?”</w:t>
      </w:r>
    </w:p>
    <w:p w:rsidR="00EA2436" w:rsidRDefault="00EA2436">
      <w:pPr>
        <w:numPr>
          <w:ilvl w:val="0"/>
          <w:numId w:val="11"/>
        </w:numPr>
        <w:tabs>
          <w:tab w:val="clear" w:pos="360"/>
          <w:tab w:val="num" w:pos="1080"/>
        </w:tabs>
        <w:ind w:left="1440" w:hanging="720"/>
        <w:jc w:val="both"/>
      </w:pPr>
      <w:r>
        <w:t>Can we make it in the best interest of our suppliers and buyers to popularize the standard?</w:t>
      </w:r>
    </w:p>
    <w:p w:rsidR="00EA2436" w:rsidRDefault="00EA2436">
      <w:pPr>
        <w:jc w:val="both"/>
      </w:pPr>
    </w:p>
    <w:p w:rsidR="00EA2436" w:rsidRDefault="00EA2436">
      <w:pPr>
        <w:numPr>
          <w:ilvl w:val="0"/>
          <w:numId w:val="9"/>
        </w:numPr>
        <w:tabs>
          <w:tab w:val="clear" w:pos="360"/>
          <w:tab w:val="num" w:pos="720"/>
        </w:tabs>
        <w:ind w:left="720"/>
        <w:jc w:val="both"/>
      </w:pPr>
      <w:r>
        <w:t>What market segment should my firm try to target?</w:t>
      </w:r>
    </w:p>
    <w:p w:rsidR="00EA2436" w:rsidRDefault="00EA2436">
      <w:pPr>
        <w:numPr>
          <w:ilvl w:val="0"/>
          <w:numId w:val="9"/>
        </w:numPr>
        <w:tabs>
          <w:tab w:val="clear" w:pos="360"/>
          <w:tab w:val="num" w:pos="1080"/>
        </w:tabs>
        <w:ind w:left="1080"/>
        <w:jc w:val="both"/>
      </w:pPr>
      <w:r>
        <w:t>Is there a differentiation advantage to be gained based on how competitors are positioned?</w:t>
      </w:r>
    </w:p>
    <w:p w:rsidR="00EA2436" w:rsidRDefault="00EA2436">
      <w:pPr>
        <w:jc w:val="both"/>
      </w:pPr>
    </w:p>
    <w:p w:rsidR="00EA2436" w:rsidRDefault="00EA2436">
      <w:pPr>
        <w:numPr>
          <w:ilvl w:val="0"/>
          <w:numId w:val="11"/>
        </w:numPr>
        <w:tabs>
          <w:tab w:val="clear" w:pos="360"/>
          <w:tab w:val="num" w:pos="720"/>
        </w:tabs>
        <w:ind w:left="1080" w:hanging="720"/>
        <w:jc w:val="both"/>
      </w:pPr>
      <w:r>
        <w:t>What types of benefits should be firm offer to attract employees with particular traits?</w:t>
      </w:r>
    </w:p>
    <w:p w:rsidR="00EA2436" w:rsidRDefault="00EA2436">
      <w:pPr>
        <w:numPr>
          <w:ilvl w:val="0"/>
          <w:numId w:val="11"/>
        </w:numPr>
        <w:tabs>
          <w:tab w:val="clear" w:pos="360"/>
          <w:tab w:val="num" w:pos="1080"/>
        </w:tabs>
        <w:ind w:left="1440" w:hanging="720"/>
        <w:jc w:val="both"/>
      </w:pPr>
      <w:r>
        <w:t>Do certain benefit packages help signal the traits of potential employees?</w:t>
      </w:r>
    </w:p>
    <w:p w:rsidR="00EA2436" w:rsidRDefault="00EA2436">
      <w:pPr>
        <w:jc w:val="both"/>
      </w:pPr>
    </w:p>
    <w:p w:rsidR="00EA2436" w:rsidRDefault="00EA2436">
      <w:pPr>
        <w:jc w:val="both"/>
      </w:pPr>
      <w:r>
        <w:t>For each of these decisions, the firm’s optimal strategy may be different depending on what others are doing (or might subsequently do).  Such situations are perfect opportunities to apply game theory!</w:t>
      </w:r>
    </w:p>
    <w:p w:rsidR="00EA2436" w:rsidRDefault="00EA2436">
      <w:pPr>
        <w:jc w:val="both"/>
      </w:pPr>
    </w:p>
    <w:p w:rsidR="00EA2436" w:rsidRDefault="00EA2436">
      <w:pPr>
        <w:numPr>
          <w:ilvl w:val="0"/>
          <w:numId w:val="8"/>
        </w:numPr>
        <w:jc w:val="both"/>
      </w:pPr>
      <w:r>
        <w:t>Some Terminology</w:t>
      </w:r>
    </w:p>
    <w:p w:rsidR="00EA2436" w:rsidRDefault="00EA2436">
      <w:pPr>
        <w:jc w:val="both"/>
      </w:pPr>
    </w:p>
    <w:p w:rsidR="00EA2436" w:rsidRDefault="00EA2436">
      <w:pPr>
        <w:jc w:val="both"/>
      </w:pPr>
      <w:r>
        <w:t xml:space="preserve">Managers can use game theory as a tool — it is a general framework in which the </w:t>
      </w:r>
      <w:r w:rsidR="00055EA3">
        <w:t>circumstances of many alternative</w:t>
      </w:r>
      <w:r>
        <w:t xml:space="preserve"> business situations may be analyzed.  In order to get started, there a few simple terms to become familiar with.</w:t>
      </w:r>
    </w:p>
    <w:p w:rsidR="00EA2436" w:rsidRDefault="00EA2436">
      <w:pPr>
        <w:jc w:val="both"/>
      </w:pPr>
    </w:p>
    <w:p w:rsidR="00EA2436" w:rsidRDefault="00EA2436">
      <w:pPr>
        <w:numPr>
          <w:ilvl w:val="0"/>
          <w:numId w:val="12"/>
        </w:numPr>
        <w:jc w:val="both"/>
      </w:pPr>
      <w:r>
        <w:rPr>
          <w:b/>
        </w:rPr>
        <w:t>Players:</w:t>
      </w:r>
      <w:r>
        <w:t xml:space="preserve">  These are simply the participants in the game.</w:t>
      </w:r>
    </w:p>
    <w:p w:rsidR="00EA2436" w:rsidRDefault="00EA2436">
      <w:pPr>
        <w:numPr>
          <w:ilvl w:val="0"/>
          <w:numId w:val="12"/>
        </w:numPr>
        <w:jc w:val="both"/>
      </w:pPr>
      <w:r>
        <w:rPr>
          <w:b/>
        </w:rPr>
        <w:t xml:space="preserve">Payoffs:  </w:t>
      </w:r>
      <w:r>
        <w:t xml:space="preserve">What each player “gets” at the end of the game.  The payoff depends on what he or she does in the game </w:t>
      </w:r>
      <w:r>
        <w:rPr>
          <w:b/>
        </w:rPr>
        <w:t>and</w:t>
      </w:r>
      <w:r>
        <w:t xml:space="preserve"> the actions of other players.  </w:t>
      </w:r>
      <w:r>
        <w:rPr>
          <w:u w:val="single"/>
        </w:rPr>
        <w:t>This is the essence of game theory!!</w:t>
      </w:r>
    </w:p>
    <w:p w:rsidR="00EA2436" w:rsidRDefault="00EA2436">
      <w:pPr>
        <w:numPr>
          <w:ilvl w:val="0"/>
          <w:numId w:val="12"/>
        </w:numPr>
        <w:jc w:val="both"/>
      </w:pPr>
      <w:r>
        <w:rPr>
          <w:b/>
        </w:rPr>
        <w:t xml:space="preserve">Actions:  </w:t>
      </w:r>
      <w:r>
        <w:t>These are the things that players can do in the game.  In a management context, actions could be things like “enter/don’t enter the market” or “cut prices/maintain status quo pricing.”</w:t>
      </w:r>
    </w:p>
    <w:p w:rsidR="00EA2436" w:rsidRDefault="00EA2436">
      <w:pPr>
        <w:jc w:val="both"/>
        <w:rPr>
          <w:b/>
        </w:rPr>
      </w:pPr>
    </w:p>
    <w:p w:rsidR="00EA2436" w:rsidRDefault="00EA2436">
      <w:pPr>
        <w:jc w:val="both"/>
      </w:pPr>
      <w:r>
        <w:t xml:space="preserve">For many games, this basic information can be summarized in a matrix like the one below.  This is called the </w:t>
      </w:r>
      <w:r>
        <w:rPr>
          <w:b/>
        </w:rPr>
        <w:t>normal form</w:t>
      </w:r>
      <w:r>
        <w:t xml:space="preserve"> of the game:</w:t>
      </w:r>
    </w:p>
    <w:p w:rsidR="00EA2436" w:rsidRDefault="00EA24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2214"/>
        <w:gridCol w:w="2214"/>
        <w:gridCol w:w="2214"/>
      </w:tblGrid>
      <w:tr w:rsidR="00EA2436">
        <w:trPr>
          <w:cantSplit/>
        </w:trPr>
        <w:tc>
          <w:tcPr>
            <w:tcW w:w="4428" w:type="dxa"/>
            <w:gridSpan w:val="2"/>
            <w:vMerge w:val="restart"/>
          </w:tcPr>
          <w:p w:rsidR="00EA2436" w:rsidRDefault="00EA2436">
            <w:pPr>
              <w:jc w:val="both"/>
            </w:pPr>
          </w:p>
          <w:p w:rsidR="00EA2436" w:rsidRDefault="00EA2436">
            <w:pPr>
              <w:jc w:val="both"/>
            </w:pPr>
          </w:p>
          <w:p w:rsidR="00EA2436" w:rsidRDefault="00EA2436">
            <w:pPr>
              <w:pStyle w:val="BodyText2"/>
            </w:pPr>
            <w:r>
              <w:t>Game #1:  An Illustration of the Terminology</w:t>
            </w:r>
          </w:p>
          <w:p w:rsidR="00EA2436" w:rsidRDefault="00EA2436">
            <w:pPr>
              <w:jc w:val="both"/>
            </w:pPr>
          </w:p>
        </w:tc>
        <w:tc>
          <w:tcPr>
            <w:tcW w:w="4428" w:type="dxa"/>
            <w:gridSpan w:val="2"/>
          </w:tcPr>
          <w:p w:rsidR="00EA2436" w:rsidRDefault="00EA2436">
            <w:pPr>
              <w:jc w:val="both"/>
            </w:pPr>
          </w:p>
          <w:p w:rsidR="00EA2436" w:rsidRDefault="00EA2436">
            <w:pPr>
              <w:pStyle w:val="Heading2"/>
            </w:pPr>
            <w:r>
              <w:t>PLAYER TWO</w:t>
            </w:r>
          </w:p>
          <w:p w:rsidR="00EA2436" w:rsidRDefault="00EA2436">
            <w:pPr>
              <w:jc w:val="both"/>
            </w:pPr>
          </w:p>
        </w:tc>
      </w:tr>
      <w:tr w:rsidR="00EA2436">
        <w:trPr>
          <w:cantSplit/>
        </w:trPr>
        <w:tc>
          <w:tcPr>
            <w:tcW w:w="4428" w:type="dxa"/>
            <w:gridSpan w:val="2"/>
            <w:vMerge/>
          </w:tcPr>
          <w:p w:rsidR="00EA2436" w:rsidRDefault="00EA2436">
            <w:pPr>
              <w:jc w:val="both"/>
            </w:pPr>
          </w:p>
        </w:tc>
        <w:tc>
          <w:tcPr>
            <w:tcW w:w="2214" w:type="dxa"/>
          </w:tcPr>
          <w:p w:rsidR="00EA2436" w:rsidRDefault="00EA2436">
            <w:pPr>
              <w:jc w:val="both"/>
            </w:pPr>
          </w:p>
          <w:p w:rsidR="00EA2436" w:rsidRDefault="00EA2436">
            <w:pPr>
              <w:pStyle w:val="Heading2"/>
            </w:pPr>
            <w:r>
              <w:t>LEFT</w:t>
            </w:r>
          </w:p>
          <w:p w:rsidR="00EA2436" w:rsidRDefault="00EA2436">
            <w:pPr>
              <w:jc w:val="center"/>
              <w:rPr>
                <w:b/>
              </w:rPr>
            </w:pPr>
          </w:p>
        </w:tc>
        <w:tc>
          <w:tcPr>
            <w:tcW w:w="2214" w:type="dxa"/>
          </w:tcPr>
          <w:p w:rsidR="00EA2436" w:rsidRDefault="00EA2436">
            <w:pPr>
              <w:jc w:val="both"/>
            </w:pPr>
          </w:p>
          <w:p w:rsidR="00EA2436" w:rsidRDefault="00EA2436">
            <w:pPr>
              <w:pStyle w:val="Heading2"/>
            </w:pPr>
            <w:r>
              <w:t>RIGHT</w:t>
            </w:r>
          </w:p>
        </w:tc>
      </w:tr>
      <w:tr w:rsidR="00EA2436">
        <w:trPr>
          <w:cantSplit/>
        </w:trPr>
        <w:tc>
          <w:tcPr>
            <w:tcW w:w="2214" w:type="dxa"/>
            <w:vMerge w:val="restart"/>
          </w:tcPr>
          <w:p w:rsidR="00EA2436" w:rsidRDefault="00EA2436">
            <w:pPr>
              <w:jc w:val="both"/>
            </w:pPr>
          </w:p>
          <w:p w:rsidR="00EA2436" w:rsidRDefault="00EA2436">
            <w:pPr>
              <w:jc w:val="both"/>
            </w:pPr>
          </w:p>
          <w:p w:rsidR="00EA2436" w:rsidRDefault="00EA2436">
            <w:pPr>
              <w:jc w:val="both"/>
            </w:pPr>
          </w:p>
          <w:p w:rsidR="00EA2436" w:rsidRDefault="00EA2436">
            <w:pPr>
              <w:pStyle w:val="Heading2"/>
            </w:pPr>
            <w:r>
              <w:t>PLAYER ONE</w:t>
            </w:r>
          </w:p>
        </w:tc>
        <w:tc>
          <w:tcPr>
            <w:tcW w:w="2214" w:type="dxa"/>
          </w:tcPr>
          <w:p w:rsidR="00EA2436" w:rsidRDefault="00EA2436">
            <w:pPr>
              <w:jc w:val="both"/>
            </w:pPr>
          </w:p>
          <w:p w:rsidR="00EA2436" w:rsidRDefault="00EA2436">
            <w:pPr>
              <w:pStyle w:val="Heading2"/>
            </w:pPr>
            <w:r>
              <w:t>TOP</w:t>
            </w:r>
          </w:p>
          <w:p w:rsidR="00EA2436" w:rsidRDefault="00EA2436">
            <w:pPr>
              <w:jc w:val="center"/>
              <w:rPr>
                <w:b/>
              </w:rPr>
            </w:pPr>
          </w:p>
        </w:tc>
        <w:tc>
          <w:tcPr>
            <w:tcW w:w="2214" w:type="dxa"/>
          </w:tcPr>
          <w:p w:rsidR="00EA2436" w:rsidRDefault="00EA2436">
            <w:pPr>
              <w:jc w:val="center"/>
            </w:pPr>
          </w:p>
          <w:p w:rsidR="00EA2436" w:rsidRDefault="00EA2436">
            <w:pPr>
              <w:jc w:val="center"/>
              <w:rPr>
                <w:b/>
                <w:sz w:val="28"/>
              </w:rPr>
            </w:pPr>
            <w:r>
              <w:rPr>
                <w:b/>
                <w:sz w:val="28"/>
              </w:rPr>
              <w:t>(1,1)</w:t>
            </w:r>
          </w:p>
        </w:tc>
        <w:tc>
          <w:tcPr>
            <w:tcW w:w="2214" w:type="dxa"/>
          </w:tcPr>
          <w:p w:rsidR="00EA2436" w:rsidRDefault="00EA2436">
            <w:pPr>
              <w:jc w:val="center"/>
            </w:pPr>
          </w:p>
          <w:p w:rsidR="00EA2436" w:rsidRDefault="00EA2436">
            <w:pPr>
              <w:jc w:val="center"/>
            </w:pPr>
            <w:r>
              <w:rPr>
                <w:b/>
                <w:sz w:val="28"/>
              </w:rPr>
              <w:t>(5,0)</w:t>
            </w:r>
          </w:p>
        </w:tc>
      </w:tr>
      <w:tr w:rsidR="00EA2436">
        <w:trPr>
          <w:cantSplit/>
        </w:trPr>
        <w:tc>
          <w:tcPr>
            <w:tcW w:w="2214" w:type="dxa"/>
            <w:vMerge/>
          </w:tcPr>
          <w:p w:rsidR="00EA2436" w:rsidRDefault="00EA2436">
            <w:pPr>
              <w:jc w:val="both"/>
            </w:pPr>
          </w:p>
        </w:tc>
        <w:tc>
          <w:tcPr>
            <w:tcW w:w="2214" w:type="dxa"/>
          </w:tcPr>
          <w:p w:rsidR="00EA2436" w:rsidRDefault="00EA2436">
            <w:pPr>
              <w:jc w:val="both"/>
            </w:pPr>
          </w:p>
          <w:p w:rsidR="00EA2436" w:rsidRDefault="00EA2436">
            <w:pPr>
              <w:pStyle w:val="Heading2"/>
            </w:pPr>
            <w:r>
              <w:t>BOTTOM</w:t>
            </w:r>
          </w:p>
          <w:p w:rsidR="00EA2436" w:rsidRDefault="00EA2436">
            <w:pPr>
              <w:jc w:val="center"/>
              <w:rPr>
                <w:b/>
              </w:rPr>
            </w:pPr>
          </w:p>
        </w:tc>
        <w:tc>
          <w:tcPr>
            <w:tcW w:w="2214" w:type="dxa"/>
          </w:tcPr>
          <w:p w:rsidR="00EA2436" w:rsidRDefault="00EA2436">
            <w:pPr>
              <w:jc w:val="center"/>
            </w:pPr>
          </w:p>
          <w:p w:rsidR="00EA2436" w:rsidRDefault="00EA2436">
            <w:pPr>
              <w:jc w:val="center"/>
            </w:pPr>
            <w:r>
              <w:rPr>
                <w:b/>
                <w:sz w:val="28"/>
              </w:rPr>
              <w:t>(0,5)</w:t>
            </w:r>
          </w:p>
        </w:tc>
        <w:tc>
          <w:tcPr>
            <w:tcW w:w="2214" w:type="dxa"/>
          </w:tcPr>
          <w:p w:rsidR="00EA2436" w:rsidRDefault="00EA2436">
            <w:pPr>
              <w:jc w:val="center"/>
            </w:pPr>
          </w:p>
          <w:p w:rsidR="00EA2436" w:rsidRDefault="00EA2436">
            <w:pPr>
              <w:jc w:val="center"/>
            </w:pPr>
            <w:r>
              <w:rPr>
                <w:b/>
                <w:sz w:val="28"/>
              </w:rPr>
              <w:t>(4,4)</w:t>
            </w:r>
          </w:p>
        </w:tc>
      </w:tr>
    </w:tbl>
    <w:p w:rsidR="00EA2436" w:rsidRDefault="00EA2436">
      <w:pPr>
        <w:jc w:val="both"/>
      </w:pPr>
    </w:p>
    <w:p w:rsidR="00EA2436" w:rsidRDefault="00EA2436">
      <w:pPr>
        <w:jc w:val="both"/>
      </w:pPr>
      <w:r>
        <w:t xml:space="preserve">So, in this illustration, the players are “One” and “Two.”  Player One’s potential actions are “Top” and “Bottom” while player Two could either choose “Left” or “Right.”  The numbers in the boxes indicate the payoffs for each firm under each </w:t>
      </w:r>
      <w:r>
        <w:rPr>
          <w:u w:val="single"/>
        </w:rPr>
        <w:t>combination</w:t>
      </w:r>
      <w:r>
        <w:t xml:space="preserve"> of actions by the players.  For example</w:t>
      </w:r>
      <w:r w:rsidR="00055EA3">
        <w:t>, player One earns 0 and player</w:t>
      </w:r>
      <w:r>
        <w:t xml:space="preserve"> Two earns 5 if “Bottom” and “Left” are the actions chosen.  If player Two chooses “Right” instead, each player gets 4.</w:t>
      </w:r>
    </w:p>
    <w:p w:rsidR="00EA2436" w:rsidRDefault="00EA2436">
      <w:pPr>
        <w:jc w:val="both"/>
      </w:pPr>
    </w:p>
    <w:p w:rsidR="00EA2436" w:rsidRDefault="00EA2436">
      <w:pPr>
        <w:jc w:val="both"/>
      </w:pPr>
      <w:r>
        <w:t>But this game is sort of abstract.  To demonstrate how players might “solve” the game (i.e., decide which actions to take), it is useful to add some characters and a plot.  The “Prisoners’ Dilemma” application is the classic example.</w:t>
      </w:r>
    </w:p>
    <w:p w:rsidR="00EA2436" w:rsidRDefault="00EA24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2214"/>
        <w:gridCol w:w="2214"/>
        <w:gridCol w:w="2214"/>
      </w:tblGrid>
      <w:tr w:rsidR="00EA2436">
        <w:trPr>
          <w:cantSplit/>
        </w:trPr>
        <w:tc>
          <w:tcPr>
            <w:tcW w:w="4428" w:type="dxa"/>
            <w:gridSpan w:val="2"/>
            <w:vMerge w:val="restart"/>
          </w:tcPr>
          <w:p w:rsidR="00EA2436" w:rsidRDefault="00EA2436">
            <w:pPr>
              <w:jc w:val="both"/>
            </w:pPr>
          </w:p>
          <w:p w:rsidR="00EA2436" w:rsidRDefault="00EA2436">
            <w:pPr>
              <w:jc w:val="both"/>
            </w:pPr>
          </w:p>
          <w:p w:rsidR="00EA2436" w:rsidRDefault="00EA2436">
            <w:pPr>
              <w:pStyle w:val="BodyText2"/>
            </w:pPr>
            <w:r>
              <w:t>Game #2:  Prisoners’ Dilemma</w:t>
            </w:r>
          </w:p>
          <w:p w:rsidR="00EA2436" w:rsidRDefault="00EA2436">
            <w:pPr>
              <w:jc w:val="both"/>
            </w:pPr>
          </w:p>
        </w:tc>
        <w:tc>
          <w:tcPr>
            <w:tcW w:w="4428" w:type="dxa"/>
            <w:gridSpan w:val="2"/>
          </w:tcPr>
          <w:p w:rsidR="00EA2436" w:rsidRDefault="00EA2436">
            <w:pPr>
              <w:jc w:val="both"/>
            </w:pPr>
          </w:p>
          <w:p w:rsidR="00EA2436" w:rsidRDefault="00EA2436">
            <w:pPr>
              <w:pStyle w:val="Heading2"/>
            </w:pPr>
            <w:r>
              <w:t>Rocco</w:t>
            </w:r>
          </w:p>
          <w:p w:rsidR="00EA2436" w:rsidRDefault="00EA2436">
            <w:pPr>
              <w:jc w:val="both"/>
            </w:pPr>
          </w:p>
        </w:tc>
      </w:tr>
      <w:tr w:rsidR="00EA2436">
        <w:trPr>
          <w:cantSplit/>
        </w:trPr>
        <w:tc>
          <w:tcPr>
            <w:tcW w:w="4428" w:type="dxa"/>
            <w:gridSpan w:val="2"/>
            <w:vMerge/>
          </w:tcPr>
          <w:p w:rsidR="00EA2436" w:rsidRDefault="00EA2436">
            <w:pPr>
              <w:jc w:val="both"/>
            </w:pPr>
          </w:p>
        </w:tc>
        <w:tc>
          <w:tcPr>
            <w:tcW w:w="2214" w:type="dxa"/>
          </w:tcPr>
          <w:p w:rsidR="00EA2436" w:rsidRDefault="00EA2436">
            <w:pPr>
              <w:jc w:val="both"/>
            </w:pPr>
          </w:p>
          <w:p w:rsidR="00EA2436" w:rsidRDefault="00EA2436">
            <w:pPr>
              <w:pStyle w:val="Heading2"/>
            </w:pPr>
            <w:r>
              <w:t>CLAM UP</w:t>
            </w:r>
          </w:p>
          <w:p w:rsidR="00EA2436" w:rsidRDefault="00EA2436">
            <w:pPr>
              <w:jc w:val="center"/>
              <w:rPr>
                <w:b/>
              </w:rPr>
            </w:pPr>
          </w:p>
        </w:tc>
        <w:tc>
          <w:tcPr>
            <w:tcW w:w="2214" w:type="dxa"/>
          </w:tcPr>
          <w:p w:rsidR="00EA2436" w:rsidRDefault="00EA2436">
            <w:pPr>
              <w:jc w:val="both"/>
            </w:pPr>
          </w:p>
          <w:p w:rsidR="00EA2436" w:rsidRDefault="00EA2436">
            <w:pPr>
              <w:pStyle w:val="Heading2"/>
            </w:pPr>
            <w:r>
              <w:t>SQUEAL</w:t>
            </w:r>
          </w:p>
        </w:tc>
      </w:tr>
      <w:tr w:rsidR="00EA2436">
        <w:trPr>
          <w:cantSplit/>
        </w:trPr>
        <w:tc>
          <w:tcPr>
            <w:tcW w:w="2214" w:type="dxa"/>
            <w:vMerge w:val="restart"/>
          </w:tcPr>
          <w:p w:rsidR="00EA2436" w:rsidRDefault="00EA2436">
            <w:pPr>
              <w:jc w:val="both"/>
            </w:pPr>
          </w:p>
          <w:p w:rsidR="00EA2436" w:rsidRDefault="00EA2436">
            <w:pPr>
              <w:jc w:val="both"/>
            </w:pPr>
          </w:p>
          <w:p w:rsidR="00EA2436" w:rsidRDefault="00EA2436">
            <w:pPr>
              <w:jc w:val="both"/>
            </w:pPr>
          </w:p>
          <w:p w:rsidR="00EA2436" w:rsidRDefault="00EA2436">
            <w:pPr>
              <w:pStyle w:val="Heading2"/>
            </w:pPr>
            <w:r>
              <w:t>Frankie</w:t>
            </w:r>
          </w:p>
        </w:tc>
        <w:tc>
          <w:tcPr>
            <w:tcW w:w="2214" w:type="dxa"/>
          </w:tcPr>
          <w:p w:rsidR="00EA2436" w:rsidRDefault="00EA2436">
            <w:pPr>
              <w:jc w:val="both"/>
            </w:pPr>
          </w:p>
          <w:p w:rsidR="00EA2436" w:rsidRDefault="00EA2436">
            <w:pPr>
              <w:pStyle w:val="Heading2"/>
            </w:pPr>
            <w:r>
              <w:t>CLAM UP</w:t>
            </w:r>
          </w:p>
          <w:p w:rsidR="00EA2436" w:rsidRDefault="00EA2436">
            <w:pPr>
              <w:jc w:val="center"/>
              <w:rPr>
                <w:b/>
              </w:rPr>
            </w:pPr>
          </w:p>
        </w:tc>
        <w:tc>
          <w:tcPr>
            <w:tcW w:w="2214" w:type="dxa"/>
          </w:tcPr>
          <w:p w:rsidR="00EA2436" w:rsidRDefault="00EA2436">
            <w:pPr>
              <w:jc w:val="center"/>
            </w:pPr>
          </w:p>
          <w:p w:rsidR="00EA2436" w:rsidRDefault="00EA2436">
            <w:pPr>
              <w:jc w:val="center"/>
              <w:rPr>
                <w:b/>
                <w:sz w:val="28"/>
              </w:rPr>
            </w:pPr>
            <w:r>
              <w:rPr>
                <w:b/>
                <w:sz w:val="28"/>
              </w:rPr>
              <w:t>(1,1)</w:t>
            </w:r>
          </w:p>
        </w:tc>
        <w:tc>
          <w:tcPr>
            <w:tcW w:w="2214" w:type="dxa"/>
          </w:tcPr>
          <w:p w:rsidR="00EA2436" w:rsidRDefault="00EA2436">
            <w:pPr>
              <w:jc w:val="center"/>
            </w:pPr>
          </w:p>
          <w:p w:rsidR="00EA2436" w:rsidRDefault="00EA2436">
            <w:pPr>
              <w:jc w:val="center"/>
            </w:pPr>
            <w:r>
              <w:rPr>
                <w:b/>
                <w:sz w:val="28"/>
              </w:rPr>
              <w:t>(5,0)</w:t>
            </w:r>
          </w:p>
        </w:tc>
      </w:tr>
      <w:tr w:rsidR="00EA2436">
        <w:trPr>
          <w:cantSplit/>
        </w:trPr>
        <w:tc>
          <w:tcPr>
            <w:tcW w:w="2214" w:type="dxa"/>
            <w:vMerge/>
          </w:tcPr>
          <w:p w:rsidR="00EA2436" w:rsidRDefault="00EA2436">
            <w:pPr>
              <w:jc w:val="both"/>
            </w:pPr>
          </w:p>
        </w:tc>
        <w:tc>
          <w:tcPr>
            <w:tcW w:w="2214" w:type="dxa"/>
          </w:tcPr>
          <w:p w:rsidR="00EA2436" w:rsidRDefault="00EA2436">
            <w:pPr>
              <w:jc w:val="both"/>
            </w:pPr>
          </w:p>
          <w:p w:rsidR="00EA2436" w:rsidRDefault="00EA2436">
            <w:pPr>
              <w:pStyle w:val="Heading2"/>
            </w:pPr>
            <w:r>
              <w:t>SQUEAL</w:t>
            </w:r>
          </w:p>
          <w:p w:rsidR="00EA2436" w:rsidRDefault="00EA2436">
            <w:pPr>
              <w:jc w:val="center"/>
              <w:rPr>
                <w:b/>
              </w:rPr>
            </w:pPr>
          </w:p>
        </w:tc>
        <w:tc>
          <w:tcPr>
            <w:tcW w:w="2214" w:type="dxa"/>
          </w:tcPr>
          <w:p w:rsidR="00EA2436" w:rsidRDefault="00EA2436">
            <w:pPr>
              <w:jc w:val="center"/>
            </w:pPr>
          </w:p>
          <w:p w:rsidR="00EA2436" w:rsidRDefault="00EA2436">
            <w:pPr>
              <w:jc w:val="center"/>
            </w:pPr>
            <w:r>
              <w:rPr>
                <w:b/>
                <w:sz w:val="28"/>
              </w:rPr>
              <w:t>(0,5)</w:t>
            </w:r>
          </w:p>
        </w:tc>
        <w:tc>
          <w:tcPr>
            <w:tcW w:w="2214" w:type="dxa"/>
          </w:tcPr>
          <w:p w:rsidR="00EA2436" w:rsidRDefault="00EA2436">
            <w:pPr>
              <w:jc w:val="center"/>
            </w:pPr>
          </w:p>
          <w:p w:rsidR="00EA2436" w:rsidRDefault="00EA2436">
            <w:pPr>
              <w:jc w:val="center"/>
            </w:pPr>
            <w:r>
              <w:rPr>
                <w:b/>
                <w:sz w:val="28"/>
              </w:rPr>
              <w:t>(4,4)</w:t>
            </w:r>
          </w:p>
        </w:tc>
      </w:tr>
    </w:tbl>
    <w:p w:rsidR="00EA2436" w:rsidRDefault="00EA2436">
      <w:pPr>
        <w:jc w:val="both"/>
      </w:pPr>
    </w:p>
    <w:p w:rsidR="00EA2436" w:rsidRDefault="00EA2436">
      <w:pPr>
        <w:jc w:val="both"/>
      </w:pPr>
      <w:r>
        <w:t xml:space="preserve">Frankie and Rocco were put in separate rooms after being picked up as burglary suspects.  There were no witnesses.  The police question the two thugs (individually) and try to get them to tell exactly what went down.  Ultimately, their payoffs will depend on whether they squeal </w:t>
      </w:r>
      <w:r>
        <w:rPr>
          <w:b/>
        </w:rPr>
        <w:t>and</w:t>
      </w:r>
      <w:r>
        <w:t xml:space="preserve"> what their partner does.  These “payoffs” represent years in prison, so higher numbers are worse (not typically the case).</w:t>
      </w:r>
    </w:p>
    <w:p w:rsidR="00EA2436" w:rsidRDefault="00EA2436">
      <w:pPr>
        <w:jc w:val="both"/>
      </w:pPr>
    </w:p>
    <w:p w:rsidR="00EA2436" w:rsidRDefault="00EA2436">
      <w:pPr>
        <w:jc w:val="both"/>
      </w:pPr>
      <w:r>
        <w:t>Each player decides what to do by considering what his sentence will be given what may be happening in the other room.  Think about Frankie first:  if Rocco decides to clam up, it is better for Frankie to squeal than to clam up — he gets no prison time instead of a year.  If Rocco squeals, Frankie is again better off by squealing (4 years vs. 5 years in jail).  So, Frankie’s optimal strategy is to squeal.  Notice that the payoffs are symmetric (same for both players); therefore, Rocco should employ the same strategy.  The outcome of the game is that both prisoners squeal and get four-year prison terms.</w:t>
      </w:r>
      <w:r>
        <w:rPr>
          <w:rStyle w:val="FootnoteReference"/>
        </w:rPr>
        <w:footnoteReference w:id="2"/>
      </w:r>
    </w:p>
    <w:p w:rsidR="00EA2436" w:rsidRDefault="00EA2436">
      <w:pPr>
        <w:jc w:val="both"/>
      </w:pPr>
    </w:p>
    <w:p w:rsidR="00EA2436" w:rsidRDefault="00EA2436">
      <w:pPr>
        <w:jc w:val="both"/>
      </w:pPr>
      <w:r>
        <w:t xml:space="preserve">Note that the prisoners are in such a dilemma because the cops made up the rules of the game.  Specifically, they put Rocco and Frankie in separate rooms, so they would not be able to collude.  If they were </w:t>
      </w:r>
      <w:r>
        <w:rPr>
          <w:u w:val="single"/>
        </w:rPr>
        <w:t>sure</w:t>
      </w:r>
      <w:r>
        <w:t xml:space="preserve"> what the other guy would do, (1,1) is a much-preferred outcome!  How can the bad guys use game theory to their advantage?  If prison is “tougher” for guys who squeal, thugs who don’t squeal might actually prefer a longer sentence.  This could lead both players to “clam up” and deliver the (1,1) outcome.</w:t>
      </w:r>
    </w:p>
    <w:p w:rsidR="00EA2436" w:rsidRDefault="00EA2436">
      <w:pPr>
        <w:jc w:val="both"/>
      </w:pPr>
    </w:p>
    <w:p w:rsidR="00EA2436" w:rsidRDefault="00EA2436">
      <w:pPr>
        <w:jc w:val="both"/>
      </w:pPr>
      <w:r>
        <w:t>What does the Prisoners’ Dilemma have to do with Management and Strategy?  Well, change the game to the following:</w:t>
      </w:r>
    </w:p>
    <w:p w:rsidR="00EA2436" w:rsidRDefault="00EA24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2214"/>
        <w:gridCol w:w="2214"/>
        <w:gridCol w:w="2214"/>
      </w:tblGrid>
      <w:tr w:rsidR="00EA2436">
        <w:trPr>
          <w:cantSplit/>
        </w:trPr>
        <w:tc>
          <w:tcPr>
            <w:tcW w:w="4428" w:type="dxa"/>
            <w:gridSpan w:val="2"/>
            <w:vMerge w:val="restart"/>
          </w:tcPr>
          <w:p w:rsidR="00EA2436" w:rsidRDefault="00EA2436">
            <w:pPr>
              <w:jc w:val="both"/>
            </w:pPr>
          </w:p>
          <w:p w:rsidR="00EA2436" w:rsidRDefault="00EA2436">
            <w:pPr>
              <w:jc w:val="both"/>
            </w:pPr>
          </w:p>
          <w:p w:rsidR="00EA2436" w:rsidRDefault="00EA2436">
            <w:pPr>
              <w:pStyle w:val="BodyText2"/>
            </w:pPr>
            <w:r>
              <w:t xml:space="preserve">Game #3:  </w:t>
            </w:r>
            <w:r w:rsidR="00F8265B">
              <w:t>Airline</w:t>
            </w:r>
            <w:r>
              <w:t xml:space="preserve"> Pricing </w:t>
            </w:r>
          </w:p>
          <w:p w:rsidR="00EA2436" w:rsidRDefault="00EA2436">
            <w:pPr>
              <w:jc w:val="both"/>
            </w:pPr>
          </w:p>
        </w:tc>
        <w:tc>
          <w:tcPr>
            <w:tcW w:w="4428" w:type="dxa"/>
            <w:gridSpan w:val="2"/>
          </w:tcPr>
          <w:p w:rsidR="00EA2436" w:rsidRDefault="00F8265B">
            <w:pPr>
              <w:pStyle w:val="Heading2"/>
            </w:pPr>
            <w:r>
              <w:t>United</w:t>
            </w:r>
          </w:p>
          <w:p w:rsidR="00EA2436" w:rsidRDefault="00EA2436">
            <w:pPr>
              <w:jc w:val="both"/>
            </w:pPr>
          </w:p>
        </w:tc>
      </w:tr>
      <w:tr w:rsidR="00EA2436">
        <w:trPr>
          <w:cantSplit/>
        </w:trPr>
        <w:tc>
          <w:tcPr>
            <w:tcW w:w="4428" w:type="dxa"/>
            <w:gridSpan w:val="2"/>
            <w:vMerge/>
          </w:tcPr>
          <w:p w:rsidR="00EA2436" w:rsidRDefault="00EA2436">
            <w:pPr>
              <w:jc w:val="both"/>
            </w:pPr>
          </w:p>
        </w:tc>
        <w:tc>
          <w:tcPr>
            <w:tcW w:w="2214" w:type="dxa"/>
          </w:tcPr>
          <w:p w:rsidR="00EA2436" w:rsidRDefault="00EA2436">
            <w:pPr>
              <w:jc w:val="both"/>
            </w:pPr>
          </w:p>
          <w:p w:rsidR="00EA2436" w:rsidRDefault="00EA2436">
            <w:pPr>
              <w:pStyle w:val="Heading2"/>
            </w:pPr>
            <w:r>
              <w:t>Cut Prices</w:t>
            </w:r>
          </w:p>
          <w:p w:rsidR="00EA2436" w:rsidRDefault="00EA2436">
            <w:pPr>
              <w:jc w:val="center"/>
              <w:rPr>
                <w:b/>
              </w:rPr>
            </w:pPr>
          </w:p>
        </w:tc>
        <w:tc>
          <w:tcPr>
            <w:tcW w:w="2214" w:type="dxa"/>
          </w:tcPr>
          <w:p w:rsidR="00EA2436" w:rsidRDefault="00EA2436">
            <w:pPr>
              <w:jc w:val="both"/>
            </w:pPr>
          </w:p>
          <w:p w:rsidR="00EA2436" w:rsidRDefault="00EA2436">
            <w:pPr>
              <w:pStyle w:val="Heading2"/>
            </w:pPr>
            <w:r>
              <w:t>Maintain High Prices</w:t>
            </w:r>
          </w:p>
          <w:p w:rsidR="00EA2436" w:rsidRDefault="00EA2436">
            <w:pPr>
              <w:rPr>
                <w:sz w:val="16"/>
              </w:rPr>
            </w:pPr>
          </w:p>
        </w:tc>
      </w:tr>
      <w:tr w:rsidR="00EA2436">
        <w:trPr>
          <w:cantSplit/>
        </w:trPr>
        <w:tc>
          <w:tcPr>
            <w:tcW w:w="2214" w:type="dxa"/>
            <w:vMerge w:val="restart"/>
          </w:tcPr>
          <w:p w:rsidR="00EA2436" w:rsidRDefault="00EA2436">
            <w:pPr>
              <w:jc w:val="both"/>
            </w:pPr>
          </w:p>
          <w:p w:rsidR="00EA2436" w:rsidRDefault="00EA2436">
            <w:pPr>
              <w:jc w:val="both"/>
            </w:pPr>
          </w:p>
          <w:p w:rsidR="00EA2436" w:rsidRDefault="00EA2436">
            <w:pPr>
              <w:jc w:val="both"/>
            </w:pPr>
          </w:p>
          <w:p w:rsidR="00EA2436" w:rsidRDefault="00F8265B">
            <w:pPr>
              <w:pStyle w:val="Heading2"/>
            </w:pPr>
            <w:r>
              <w:t>Northwest</w:t>
            </w:r>
          </w:p>
        </w:tc>
        <w:tc>
          <w:tcPr>
            <w:tcW w:w="2214" w:type="dxa"/>
          </w:tcPr>
          <w:p w:rsidR="00EA2436" w:rsidRDefault="00EA2436">
            <w:pPr>
              <w:jc w:val="both"/>
            </w:pPr>
          </w:p>
          <w:p w:rsidR="00EA2436" w:rsidRDefault="00EA2436">
            <w:pPr>
              <w:pStyle w:val="Heading2"/>
            </w:pPr>
            <w:r>
              <w:t>Cut Prices</w:t>
            </w:r>
          </w:p>
          <w:p w:rsidR="00EA2436" w:rsidRDefault="00EA2436">
            <w:pPr>
              <w:jc w:val="center"/>
              <w:rPr>
                <w:b/>
              </w:rPr>
            </w:pPr>
          </w:p>
        </w:tc>
        <w:tc>
          <w:tcPr>
            <w:tcW w:w="2214" w:type="dxa"/>
          </w:tcPr>
          <w:p w:rsidR="00EA2436" w:rsidRDefault="00EA2436">
            <w:pPr>
              <w:jc w:val="center"/>
            </w:pPr>
          </w:p>
          <w:p w:rsidR="00EA2436" w:rsidRDefault="00EA2436">
            <w:pPr>
              <w:jc w:val="center"/>
              <w:rPr>
                <w:b/>
                <w:sz w:val="28"/>
              </w:rPr>
            </w:pPr>
            <w:r>
              <w:rPr>
                <w:b/>
                <w:sz w:val="28"/>
              </w:rPr>
              <w:t>(1,1)</w:t>
            </w:r>
          </w:p>
        </w:tc>
        <w:tc>
          <w:tcPr>
            <w:tcW w:w="2214" w:type="dxa"/>
          </w:tcPr>
          <w:p w:rsidR="00EA2436" w:rsidRDefault="00EA2436">
            <w:pPr>
              <w:jc w:val="center"/>
            </w:pPr>
          </w:p>
          <w:p w:rsidR="00EA2436" w:rsidRDefault="00EA2436">
            <w:pPr>
              <w:jc w:val="center"/>
            </w:pPr>
            <w:r>
              <w:rPr>
                <w:b/>
                <w:sz w:val="28"/>
              </w:rPr>
              <w:t>(5,0)</w:t>
            </w:r>
          </w:p>
        </w:tc>
      </w:tr>
      <w:tr w:rsidR="00EA2436">
        <w:trPr>
          <w:cantSplit/>
        </w:trPr>
        <w:tc>
          <w:tcPr>
            <w:tcW w:w="2214" w:type="dxa"/>
            <w:vMerge/>
          </w:tcPr>
          <w:p w:rsidR="00EA2436" w:rsidRDefault="00EA2436">
            <w:pPr>
              <w:jc w:val="both"/>
            </w:pPr>
          </w:p>
        </w:tc>
        <w:tc>
          <w:tcPr>
            <w:tcW w:w="2214" w:type="dxa"/>
          </w:tcPr>
          <w:p w:rsidR="00EA2436" w:rsidRDefault="00EA2436">
            <w:pPr>
              <w:jc w:val="both"/>
            </w:pPr>
          </w:p>
          <w:p w:rsidR="00EA2436" w:rsidRDefault="00EA2436">
            <w:pPr>
              <w:pStyle w:val="Heading2"/>
            </w:pPr>
            <w:r>
              <w:t>Maintain High Prices</w:t>
            </w:r>
          </w:p>
          <w:p w:rsidR="00EA2436" w:rsidRDefault="00EA2436">
            <w:pPr>
              <w:jc w:val="center"/>
              <w:rPr>
                <w:b/>
                <w:sz w:val="16"/>
              </w:rPr>
            </w:pPr>
          </w:p>
        </w:tc>
        <w:tc>
          <w:tcPr>
            <w:tcW w:w="2214" w:type="dxa"/>
          </w:tcPr>
          <w:p w:rsidR="00EA2436" w:rsidRDefault="00EA2436">
            <w:pPr>
              <w:jc w:val="center"/>
            </w:pPr>
          </w:p>
          <w:p w:rsidR="00EA2436" w:rsidRDefault="00EA2436">
            <w:pPr>
              <w:jc w:val="center"/>
            </w:pPr>
            <w:r>
              <w:rPr>
                <w:b/>
                <w:sz w:val="28"/>
              </w:rPr>
              <w:t>(0,5)</w:t>
            </w:r>
          </w:p>
        </w:tc>
        <w:tc>
          <w:tcPr>
            <w:tcW w:w="2214" w:type="dxa"/>
          </w:tcPr>
          <w:p w:rsidR="00EA2436" w:rsidRDefault="00EA2436">
            <w:pPr>
              <w:jc w:val="center"/>
            </w:pPr>
          </w:p>
          <w:p w:rsidR="00EA2436" w:rsidRDefault="00EA2436">
            <w:pPr>
              <w:jc w:val="center"/>
            </w:pPr>
            <w:r>
              <w:rPr>
                <w:b/>
                <w:sz w:val="28"/>
              </w:rPr>
              <w:t>(4,4)</w:t>
            </w:r>
          </w:p>
        </w:tc>
      </w:tr>
    </w:tbl>
    <w:p w:rsidR="00EA2436" w:rsidRDefault="00EA2436">
      <w:pPr>
        <w:jc w:val="both"/>
      </w:pPr>
    </w:p>
    <w:p w:rsidR="00EA2436" w:rsidRDefault="00EA2436">
      <w:pPr>
        <w:jc w:val="both"/>
      </w:pPr>
      <w:r>
        <w:t>Each firm is better off cutting prices no matter what its competitor does.  However, if both firms charge the same price, they are much better off with a high price than a low price (now the payoffs represent profits, so higher numbers are better!).  The Nash Equilibrium payoff of (1,1) is ultimately not very attractive; the resulting price war is certainly a dilemma for the airlines.</w:t>
      </w:r>
      <w:r>
        <w:rPr>
          <w:rStyle w:val="FootnoteReference"/>
        </w:rPr>
        <w:footnoteReference w:id="3"/>
      </w:r>
    </w:p>
    <w:p w:rsidR="00EA2436" w:rsidRDefault="00EA2436">
      <w:pPr>
        <w:jc w:val="both"/>
      </w:pPr>
    </w:p>
    <w:p w:rsidR="00EA2436" w:rsidRDefault="00EA2436">
      <w:pPr>
        <w:jc w:val="both"/>
      </w:pPr>
    </w:p>
    <w:p w:rsidR="00EA2436" w:rsidRDefault="00EA2436">
      <w:pPr>
        <w:numPr>
          <w:ilvl w:val="0"/>
          <w:numId w:val="8"/>
        </w:numPr>
        <w:jc w:val="both"/>
      </w:pPr>
      <w:r>
        <w:t>The Effects of the Timing of Moves</w:t>
      </w:r>
    </w:p>
    <w:p w:rsidR="00EA2436" w:rsidRDefault="00EA2436">
      <w:pPr>
        <w:jc w:val="both"/>
      </w:pPr>
    </w:p>
    <w:p w:rsidR="00EA2436" w:rsidRDefault="00EA2436">
      <w:pPr>
        <w:jc w:val="both"/>
      </w:pPr>
      <w:r>
        <w:t xml:space="preserve">In many actual situations, firms do not select their actions at the same time.  This can potentially change the optimal actions for firms.  Suppose that both </w:t>
      </w:r>
      <w:r w:rsidR="007B28F3">
        <w:t>McDonalds</w:t>
      </w:r>
      <w:r>
        <w:t xml:space="preserve"> and </w:t>
      </w:r>
      <w:r w:rsidR="007B28F3">
        <w:t>Burger King</w:t>
      </w:r>
      <w:r>
        <w:t xml:space="preserve"> are considering </w:t>
      </w:r>
      <w:r w:rsidR="007B28F3">
        <w:t>opening outlets in a particular small town</w:t>
      </w:r>
      <w:r>
        <w:t xml:space="preserve">.  They each have three choices:  </w:t>
      </w:r>
      <w:r w:rsidR="007B28F3">
        <w:t>opening</w:t>
      </w:r>
      <w:r>
        <w:t xml:space="preserve"> zero, one, or two new </w:t>
      </w:r>
      <w:r w:rsidR="007B28F3">
        <w:t>restaurants</w:t>
      </w:r>
      <w:r>
        <w:t>.  The payoff matrix is described below</w:t>
      </w:r>
      <w:r>
        <w:rPr>
          <w:rStyle w:val="FootnoteReference"/>
        </w:rPr>
        <w:footnoteReference w:id="4"/>
      </w:r>
      <w:r>
        <w:t>:</w:t>
      </w:r>
    </w:p>
    <w:p w:rsidR="00EA2436" w:rsidRDefault="00EA2436">
      <w:pPr>
        <w:jc w:val="bo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1"/>
        <w:gridCol w:w="1771"/>
        <w:gridCol w:w="1771"/>
        <w:gridCol w:w="1771"/>
        <w:gridCol w:w="1771"/>
      </w:tblGrid>
      <w:tr w:rsidR="00EA2436">
        <w:trPr>
          <w:cantSplit/>
        </w:trPr>
        <w:tc>
          <w:tcPr>
            <w:tcW w:w="3542" w:type="dxa"/>
            <w:gridSpan w:val="2"/>
            <w:vMerge w:val="restart"/>
          </w:tcPr>
          <w:p w:rsidR="00EA2436" w:rsidRDefault="00EA2436">
            <w:pPr>
              <w:jc w:val="both"/>
            </w:pPr>
          </w:p>
          <w:p w:rsidR="00EA2436" w:rsidRDefault="00EA2436">
            <w:pPr>
              <w:jc w:val="both"/>
            </w:pPr>
          </w:p>
          <w:p w:rsidR="00EA2436" w:rsidRDefault="00EA2436">
            <w:pPr>
              <w:jc w:val="center"/>
              <w:rPr>
                <w:b/>
                <w:sz w:val="28"/>
              </w:rPr>
            </w:pPr>
            <w:r>
              <w:rPr>
                <w:b/>
                <w:sz w:val="28"/>
              </w:rPr>
              <w:t xml:space="preserve">Game #3:  </w:t>
            </w:r>
            <w:r w:rsidR="00F32020">
              <w:rPr>
                <w:b/>
                <w:sz w:val="28"/>
              </w:rPr>
              <w:t>Fast-Food</w:t>
            </w:r>
            <w:r>
              <w:rPr>
                <w:b/>
                <w:sz w:val="28"/>
              </w:rPr>
              <w:t xml:space="preserve"> Capacity Expansion</w:t>
            </w:r>
          </w:p>
        </w:tc>
        <w:tc>
          <w:tcPr>
            <w:tcW w:w="5313" w:type="dxa"/>
            <w:gridSpan w:val="3"/>
          </w:tcPr>
          <w:p w:rsidR="00EA2436" w:rsidRDefault="00F32020">
            <w:pPr>
              <w:pStyle w:val="Heading2"/>
            </w:pPr>
            <w:r>
              <w:t>Burger King</w:t>
            </w:r>
          </w:p>
          <w:p w:rsidR="00EA2436" w:rsidRDefault="00EA2436">
            <w:pPr>
              <w:jc w:val="both"/>
            </w:pPr>
          </w:p>
        </w:tc>
      </w:tr>
      <w:tr w:rsidR="00EA2436">
        <w:trPr>
          <w:cantSplit/>
        </w:trPr>
        <w:tc>
          <w:tcPr>
            <w:tcW w:w="3542" w:type="dxa"/>
            <w:gridSpan w:val="2"/>
            <w:vMerge/>
          </w:tcPr>
          <w:p w:rsidR="00EA2436" w:rsidRDefault="00EA2436">
            <w:pPr>
              <w:jc w:val="both"/>
            </w:pPr>
          </w:p>
        </w:tc>
        <w:tc>
          <w:tcPr>
            <w:tcW w:w="1771" w:type="dxa"/>
          </w:tcPr>
          <w:p w:rsidR="00EA2436" w:rsidRDefault="00EA2436">
            <w:pPr>
              <w:jc w:val="both"/>
            </w:pPr>
          </w:p>
          <w:p w:rsidR="00EA2436" w:rsidRDefault="00EA2436">
            <w:pPr>
              <w:pStyle w:val="Heading2"/>
            </w:pPr>
            <w:r>
              <w:t>Zero</w:t>
            </w:r>
          </w:p>
          <w:p w:rsidR="00EA2436" w:rsidRDefault="00EA2436">
            <w:pPr>
              <w:jc w:val="center"/>
              <w:rPr>
                <w:b/>
              </w:rPr>
            </w:pPr>
          </w:p>
        </w:tc>
        <w:tc>
          <w:tcPr>
            <w:tcW w:w="1771" w:type="dxa"/>
          </w:tcPr>
          <w:p w:rsidR="00EA2436" w:rsidRDefault="00EA2436">
            <w:pPr>
              <w:jc w:val="both"/>
            </w:pPr>
          </w:p>
          <w:p w:rsidR="00EA2436" w:rsidRDefault="00EA2436">
            <w:pPr>
              <w:pStyle w:val="Heading2"/>
            </w:pPr>
            <w:r>
              <w:t>One</w:t>
            </w:r>
          </w:p>
        </w:tc>
        <w:tc>
          <w:tcPr>
            <w:tcW w:w="1771" w:type="dxa"/>
          </w:tcPr>
          <w:p w:rsidR="00EA2436" w:rsidRDefault="00EA2436">
            <w:pPr>
              <w:jc w:val="both"/>
            </w:pPr>
          </w:p>
          <w:p w:rsidR="00EA2436" w:rsidRDefault="00EA2436">
            <w:pPr>
              <w:pStyle w:val="Heading2"/>
            </w:pPr>
            <w:r>
              <w:t>Two</w:t>
            </w:r>
          </w:p>
          <w:p w:rsidR="00EA2436" w:rsidRDefault="00EA2436">
            <w:pPr>
              <w:jc w:val="both"/>
            </w:pPr>
          </w:p>
        </w:tc>
      </w:tr>
      <w:tr w:rsidR="00EA2436">
        <w:trPr>
          <w:cantSplit/>
        </w:trPr>
        <w:tc>
          <w:tcPr>
            <w:tcW w:w="1771" w:type="dxa"/>
            <w:vMerge w:val="restart"/>
          </w:tcPr>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F32020">
            <w:pPr>
              <w:pStyle w:val="Heading2"/>
            </w:pPr>
            <w:r>
              <w:t>McDonald’s</w:t>
            </w:r>
          </w:p>
        </w:tc>
        <w:tc>
          <w:tcPr>
            <w:tcW w:w="1771" w:type="dxa"/>
          </w:tcPr>
          <w:p w:rsidR="00EA2436" w:rsidRDefault="00EA2436">
            <w:pPr>
              <w:jc w:val="both"/>
            </w:pPr>
          </w:p>
          <w:p w:rsidR="00EA2436" w:rsidRDefault="00EA2436">
            <w:pPr>
              <w:pStyle w:val="Heading2"/>
            </w:pPr>
            <w:r>
              <w:t>Zero</w:t>
            </w:r>
          </w:p>
          <w:p w:rsidR="00EA2436" w:rsidRDefault="00EA2436">
            <w:pPr>
              <w:jc w:val="both"/>
            </w:pPr>
          </w:p>
        </w:tc>
        <w:tc>
          <w:tcPr>
            <w:tcW w:w="1771" w:type="dxa"/>
          </w:tcPr>
          <w:p w:rsidR="00EA2436" w:rsidRDefault="00EA2436">
            <w:pPr>
              <w:jc w:val="both"/>
            </w:pPr>
          </w:p>
          <w:p w:rsidR="00EA2436" w:rsidRDefault="00EA2436">
            <w:pPr>
              <w:pStyle w:val="BodyText2"/>
            </w:pPr>
            <w:r>
              <w:t>($90, $90)</w:t>
            </w:r>
          </w:p>
          <w:p w:rsidR="00EA2436" w:rsidRDefault="00EA2436">
            <w:pPr>
              <w:pStyle w:val="BodyText2"/>
              <w:rPr>
                <w:b w:val="0"/>
                <w:sz w:val="20"/>
              </w:rPr>
            </w:pPr>
          </w:p>
        </w:tc>
        <w:tc>
          <w:tcPr>
            <w:tcW w:w="1771" w:type="dxa"/>
          </w:tcPr>
          <w:p w:rsidR="00EA2436" w:rsidRDefault="00EA2436">
            <w:pPr>
              <w:jc w:val="both"/>
            </w:pPr>
          </w:p>
          <w:p w:rsidR="00EA2436" w:rsidRDefault="00EA2436">
            <w:pPr>
              <w:pStyle w:val="BodyText2"/>
            </w:pPr>
            <w:r>
              <w:t>($75, $100)</w:t>
            </w:r>
          </w:p>
          <w:p w:rsidR="00EA2436" w:rsidRDefault="00EA2436">
            <w:pPr>
              <w:jc w:val="both"/>
            </w:pPr>
          </w:p>
        </w:tc>
        <w:tc>
          <w:tcPr>
            <w:tcW w:w="1771" w:type="dxa"/>
          </w:tcPr>
          <w:p w:rsidR="00EA2436" w:rsidRDefault="00EA2436">
            <w:pPr>
              <w:jc w:val="both"/>
            </w:pPr>
          </w:p>
          <w:p w:rsidR="00EA2436" w:rsidRDefault="00EA2436">
            <w:pPr>
              <w:pStyle w:val="BodyText2"/>
            </w:pPr>
            <w:r>
              <w:t>($45, $90)</w:t>
            </w:r>
          </w:p>
          <w:p w:rsidR="00EA2436" w:rsidRDefault="00EA2436">
            <w:pPr>
              <w:jc w:val="both"/>
            </w:pPr>
          </w:p>
        </w:tc>
      </w:tr>
      <w:tr w:rsidR="00EA2436">
        <w:trPr>
          <w:cantSplit/>
        </w:trPr>
        <w:tc>
          <w:tcPr>
            <w:tcW w:w="1771" w:type="dxa"/>
            <w:vMerge/>
          </w:tcPr>
          <w:p w:rsidR="00EA2436" w:rsidRDefault="00EA2436">
            <w:pPr>
              <w:jc w:val="both"/>
            </w:pPr>
          </w:p>
        </w:tc>
        <w:tc>
          <w:tcPr>
            <w:tcW w:w="1771" w:type="dxa"/>
          </w:tcPr>
          <w:p w:rsidR="00EA2436" w:rsidRDefault="00EA2436">
            <w:pPr>
              <w:jc w:val="both"/>
            </w:pPr>
          </w:p>
          <w:p w:rsidR="00EA2436" w:rsidRDefault="00EA2436">
            <w:pPr>
              <w:pStyle w:val="Heading2"/>
            </w:pPr>
            <w:r>
              <w:t>One</w:t>
            </w:r>
          </w:p>
          <w:p w:rsidR="00EA2436" w:rsidRDefault="00EA2436">
            <w:pPr>
              <w:jc w:val="both"/>
            </w:pPr>
          </w:p>
        </w:tc>
        <w:tc>
          <w:tcPr>
            <w:tcW w:w="1771" w:type="dxa"/>
          </w:tcPr>
          <w:p w:rsidR="00EA2436" w:rsidRDefault="00EA2436">
            <w:pPr>
              <w:jc w:val="both"/>
            </w:pPr>
          </w:p>
          <w:p w:rsidR="00EA2436" w:rsidRDefault="00EA2436">
            <w:pPr>
              <w:pStyle w:val="BodyText2"/>
            </w:pPr>
            <w:r>
              <w:t>($100, $75)</w:t>
            </w:r>
          </w:p>
          <w:p w:rsidR="00EA2436" w:rsidRDefault="00EA2436">
            <w:pPr>
              <w:pStyle w:val="BodyText2"/>
              <w:rPr>
                <w:b w:val="0"/>
                <w:sz w:val="20"/>
              </w:rPr>
            </w:pPr>
          </w:p>
        </w:tc>
        <w:tc>
          <w:tcPr>
            <w:tcW w:w="1771" w:type="dxa"/>
          </w:tcPr>
          <w:p w:rsidR="00EA2436" w:rsidRDefault="00EA2436">
            <w:pPr>
              <w:jc w:val="both"/>
            </w:pPr>
          </w:p>
          <w:p w:rsidR="00EA2436" w:rsidRDefault="00EA2436">
            <w:pPr>
              <w:pStyle w:val="BodyText2"/>
            </w:pPr>
            <w:r>
              <w:t>($80, $80)</w:t>
            </w:r>
          </w:p>
          <w:p w:rsidR="00EA2436" w:rsidRDefault="00EA2436">
            <w:pPr>
              <w:jc w:val="both"/>
            </w:pPr>
          </w:p>
        </w:tc>
        <w:tc>
          <w:tcPr>
            <w:tcW w:w="1771" w:type="dxa"/>
          </w:tcPr>
          <w:p w:rsidR="00EA2436" w:rsidRDefault="00EA2436">
            <w:pPr>
              <w:jc w:val="both"/>
            </w:pPr>
          </w:p>
          <w:p w:rsidR="00EA2436" w:rsidRDefault="00EA2436">
            <w:pPr>
              <w:pStyle w:val="BodyText2"/>
            </w:pPr>
            <w:r>
              <w:t>($40, $60)</w:t>
            </w:r>
          </w:p>
          <w:p w:rsidR="00EA2436" w:rsidRDefault="00EA2436">
            <w:pPr>
              <w:jc w:val="both"/>
            </w:pPr>
          </w:p>
        </w:tc>
      </w:tr>
      <w:tr w:rsidR="00EA2436">
        <w:trPr>
          <w:cantSplit/>
        </w:trPr>
        <w:tc>
          <w:tcPr>
            <w:tcW w:w="1771" w:type="dxa"/>
            <w:vMerge/>
          </w:tcPr>
          <w:p w:rsidR="00EA2436" w:rsidRDefault="00EA2436">
            <w:pPr>
              <w:jc w:val="both"/>
            </w:pPr>
          </w:p>
        </w:tc>
        <w:tc>
          <w:tcPr>
            <w:tcW w:w="1771" w:type="dxa"/>
          </w:tcPr>
          <w:p w:rsidR="00EA2436" w:rsidRDefault="00EA2436">
            <w:pPr>
              <w:jc w:val="both"/>
            </w:pPr>
          </w:p>
          <w:p w:rsidR="00EA2436" w:rsidRDefault="00EA2436">
            <w:pPr>
              <w:pStyle w:val="Heading2"/>
            </w:pPr>
            <w:r>
              <w:t>Two</w:t>
            </w:r>
          </w:p>
          <w:p w:rsidR="00EA2436" w:rsidRDefault="00EA2436">
            <w:pPr>
              <w:jc w:val="both"/>
            </w:pPr>
          </w:p>
        </w:tc>
        <w:tc>
          <w:tcPr>
            <w:tcW w:w="1771" w:type="dxa"/>
          </w:tcPr>
          <w:p w:rsidR="00EA2436" w:rsidRDefault="00EA2436">
            <w:pPr>
              <w:jc w:val="both"/>
            </w:pPr>
          </w:p>
          <w:p w:rsidR="00EA2436" w:rsidRDefault="00EA2436">
            <w:pPr>
              <w:pStyle w:val="BodyText2"/>
            </w:pPr>
            <w:r>
              <w:t>($90, $45)</w:t>
            </w:r>
          </w:p>
          <w:p w:rsidR="00EA2436" w:rsidRDefault="00EA2436">
            <w:pPr>
              <w:pStyle w:val="BodyText2"/>
              <w:rPr>
                <w:b w:val="0"/>
                <w:sz w:val="20"/>
              </w:rPr>
            </w:pPr>
          </w:p>
        </w:tc>
        <w:tc>
          <w:tcPr>
            <w:tcW w:w="1771" w:type="dxa"/>
          </w:tcPr>
          <w:p w:rsidR="00EA2436" w:rsidRDefault="00EA2436">
            <w:pPr>
              <w:jc w:val="both"/>
            </w:pPr>
          </w:p>
          <w:p w:rsidR="00EA2436" w:rsidRDefault="00EA2436">
            <w:pPr>
              <w:pStyle w:val="BodyText2"/>
            </w:pPr>
            <w:r>
              <w:t>($60, $40)</w:t>
            </w:r>
          </w:p>
          <w:p w:rsidR="00EA2436" w:rsidRDefault="00EA2436">
            <w:pPr>
              <w:jc w:val="both"/>
            </w:pPr>
          </w:p>
        </w:tc>
        <w:tc>
          <w:tcPr>
            <w:tcW w:w="1771" w:type="dxa"/>
          </w:tcPr>
          <w:p w:rsidR="00EA2436" w:rsidRDefault="00EA2436">
            <w:pPr>
              <w:jc w:val="both"/>
            </w:pPr>
          </w:p>
          <w:p w:rsidR="00EA2436" w:rsidRDefault="00EA2436">
            <w:pPr>
              <w:pStyle w:val="BodyText2"/>
            </w:pPr>
            <w:r>
              <w:t>($0, $0)</w:t>
            </w:r>
          </w:p>
          <w:p w:rsidR="00EA2436" w:rsidRDefault="00EA2436">
            <w:pPr>
              <w:jc w:val="both"/>
            </w:pPr>
          </w:p>
        </w:tc>
      </w:tr>
    </w:tbl>
    <w:p w:rsidR="00EA2436" w:rsidRDefault="00EA2436">
      <w:pPr>
        <w:jc w:val="both"/>
      </w:pPr>
    </w:p>
    <w:p w:rsidR="00EA2436" w:rsidRDefault="00EA2436">
      <w:pPr>
        <w:jc w:val="both"/>
      </w:pPr>
      <w:r>
        <w:t xml:space="preserve">The Nash Equilibrium when this game is played simultaneously is for each firm to </w:t>
      </w:r>
      <w:r w:rsidR="007B28F3">
        <w:t>open one restaurant</w:t>
      </w:r>
      <w:r>
        <w:t xml:space="preserve"> (do you see why?).</w:t>
      </w:r>
    </w:p>
    <w:p w:rsidR="00EA2436" w:rsidRDefault="00EA2436">
      <w:pPr>
        <w:jc w:val="both"/>
      </w:pPr>
    </w:p>
    <w:p w:rsidR="00EA2436" w:rsidRDefault="00EA2436">
      <w:pPr>
        <w:jc w:val="both"/>
      </w:pPr>
      <w:r>
        <w:t xml:space="preserve">Now, suppose that because of its </w:t>
      </w:r>
      <w:r w:rsidR="007B28F3">
        <w:t>experience</w:t>
      </w:r>
      <w:r>
        <w:t xml:space="preserve"> in the</w:t>
      </w:r>
      <w:r w:rsidR="007B28F3">
        <w:t xml:space="preserve"> attracting franchisees or superior market information</w:t>
      </w:r>
      <w:r>
        <w:t xml:space="preserve">, </w:t>
      </w:r>
      <w:r w:rsidR="007B28F3">
        <w:t>McDonald’s</w:t>
      </w:r>
      <w:r>
        <w:t xml:space="preserve"> has the opportunity to decide on its expansion plans first.  </w:t>
      </w:r>
      <w:r w:rsidR="007B28F3">
        <w:t>Burger King</w:t>
      </w:r>
      <w:r>
        <w:t xml:space="preserve"> must choose its action second, after </w:t>
      </w:r>
      <w:r w:rsidR="007B28F3">
        <w:t xml:space="preserve">McDonald’s </w:t>
      </w:r>
      <w:r>
        <w:t xml:space="preserve">has already committed to its action.  In this case, we use “tree” to illustrate the </w:t>
      </w:r>
      <w:r>
        <w:rPr>
          <w:b/>
        </w:rPr>
        <w:t>extensive form</w:t>
      </w:r>
      <w:r>
        <w:t xml:space="preserve"> of the game:</w:t>
      </w:r>
    </w:p>
    <w:p w:rsidR="00EA2436" w:rsidRDefault="00EA2436">
      <w:pPr>
        <w:jc w:val="both"/>
      </w:pPr>
    </w:p>
    <w:p w:rsidR="00EA2436" w:rsidRDefault="00EA2436">
      <w:pPr>
        <w:jc w:val="both"/>
      </w:pPr>
    </w:p>
    <w:p w:rsidR="00EA2436" w:rsidRDefault="00734953">
      <w:pPr>
        <w:rPr>
          <w:u w:val="single"/>
        </w:rPr>
      </w:pPr>
      <w:r w:rsidRPr="00734953">
        <w:rPr>
          <w:noProof/>
        </w:rPr>
        <w:pict>
          <v:group id="_x0000_s1077" style="position:absolute;margin-left:21.3pt;margin-top:2.5pt;width:385.5pt;height:265.55pt;z-index:1" coordorigin="496,658" coordsize="3084,2259" o:allowincell="f">
            <v:line id="_x0000_s1078" style="position:absolute;flip:y;mso-wrap-style:none;v-text-anchor:middle" from="2451,834" to="2739,1074"/>
            <v:line id="_x0000_s1079" style="position:absolute;mso-wrap-style:none;v-text-anchor:middle" from="2451,1074" to="2774,1074"/>
            <v:line id="_x0000_s1080" style="position:absolute;mso-wrap-style:none;v-text-anchor:middle" from="2447,1071" to="2752,1324"/>
            <v:line id="_x0000_s1081" style="position:absolute;mso-wrap-style:none;v-text-anchor:middle" from="2740,833" to="3115,833"/>
            <v:line id="_x0000_s1082" style="position:absolute;mso-wrap-style:none;v-text-anchor:middle" from="2752,1327" to="3127,1327"/>
            <v:line id="_x0000_s1083" style="position:absolute;mso-wrap-style:none;v-text-anchor:middle" from="2758,1073" to="3133,1073"/>
            <v:shapetype id="_x0000_t202" coordsize="21600,21600" o:spt="202" path="m,l,21600r21600,l21600,xe">
              <v:stroke joinstyle="miter"/>
              <v:path gradientshapeok="t" o:connecttype="rect"/>
            </v:shapetype>
            <v:shape id="_x0000_s1084" type="#_x0000_t202" style="position:absolute;left:2458;top:701;width:327;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Zero</w:t>
                    </w:r>
                  </w:p>
                </w:txbxContent>
              </v:textbox>
            </v:shape>
            <v:shape id="_x0000_s1085" type="#_x0000_t202" style="position:absolute;left:2518;top:927;width:30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One</w:t>
                    </w:r>
                  </w:p>
                </w:txbxContent>
              </v:textbox>
            </v:shape>
            <v:shape id="_x0000_s1086" type="#_x0000_t202" style="position:absolute;left:2478;top:1241;width:321;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Two</w:t>
                    </w:r>
                  </w:p>
                </w:txbxContent>
              </v:textbox>
            </v:shape>
            <v:shape id="_x0000_s1087" type="#_x0000_t202" style="position:absolute;left:2942;top:658;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($90, $90)</w:t>
                    </w:r>
                  </w:p>
                </w:txbxContent>
              </v:textbox>
            </v:shape>
            <v:shape id="_x0000_s1088" type="#_x0000_t202" style="position:absolute;left:2942;top:897;width:638;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($75, $100)</w:t>
                    </w:r>
                  </w:p>
                </w:txbxContent>
              </v:textbox>
            </v:shape>
            <v:shape id="_x0000_s1089" type="#_x0000_t202" style="position:absolute;left:2942;top:1147;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($45, $90)</w:t>
                    </w:r>
                  </w:p>
                </w:txbxContent>
              </v:textbox>
            </v:shape>
            <v:line id="_x0000_s1090" style="position:absolute;flip:y;mso-wrap-style:none;v-text-anchor:middle" from="2451,1584" to="2739,1823"/>
            <v:line id="_x0000_s1091" style="position:absolute;mso-wrap-style:none;v-text-anchor:middle" from="2451,1823" to="2774,1823"/>
            <v:line id="_x0000_s1092" style="position:absolute;mso-wrap-style:none;v-text-anchor:middle" from="2447,1819" to="2752,2072"/>
            <v:line id="_x0000_s1093" style="position:absolute;mso-wrap-style:none;v-text-anchor:middle" from="2740,1581" to="3115,1581"/>
            <v:line id="_x0000_s1094" style="position:absolute;mso-wrap-style:none;v-text-anchor:middle" from="2752,2075" to="3127,2075"/>
            <v:line id="_x0000_s1095" style="position:absolute;mso-wrap-style:none;v-text-anchor:middle" from="2758,1821" to="3133,1821"/>
            <v:shape id="_x0000_s1096" type="#_x0000_t202" style="position:absolute;left:2450;top:1460;width:327;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Zero</w:t>
                    </w:r>
                  </w:p>
                </w:txbxContent>
              </v:textbox>
            </v:shape>
            <v:shape id="_x0000_s1097" type="#_x0000_t202" style="position:absolute;left:2518;top:1669;width:30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One</w:t>
                    </w:r>
                  </w:p>
                </w:txbxContent>
              </v:textbox>
            </v:shape>
            <v:shape id="_x0000_s1098" type="#_x0000_t202" style="position:absolute;left:2462;top:1979;width:321;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Two</w:t>
                    </w:r>
                  </w:p>
                </w:txbxContent>
              </v:textbox>
            </v:shape>
            <v:shape id="_x0000_s1099" type="#_x0000_t202" style="position:absolute;left:2942;top:1406;width:638;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($100, $75)</w:t>
                    </w:r>
                  </w:p>
                </w:txbxContent>
              </v:textbox>
            </v:shape>
            <v:shape id="_x0000_s1100" type="#_x0000_t202" style="position:absolute;left:2942;top:1646;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($80, $80)</w:t>
                    </w:r>
                  </w:p>
                </w:txbxContent>
              </v:textbox>
            </v:shape>
            <v:shape id="_x0000_s1101" type="#_x0000_t202" style="position:absolute;left:2942;top:1896;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($40, $60)</w:t>
                    </w:r>
                  </w:p>
                </w:txbxContent>
              </v:textbox>
            </v:shape>
            <v:line id="_x0000_s1102" style="position:absolute;flip:y;mso-wrap-style:none;v-text-anchor:middle" from="2451,2317" to="2739,2556"/>
            <v:line id="_x0000_s1103" style="position:absolute;mso-wrap-style:none;v-text-anchor:middle" from="2451,2556" to="2774,2556"/>
            <v:line id="_x0000_s1104" style="position:absolute;mso-wrap-style:none;v-text-anchor:middle" from="2447,2553" to="2752,2806"/>
            <v:line id="_x0000_s1105" style="position:absolute;mso-wrap-style:none;v-text-anchor:middle" from="2740,2315" to="3115,2315"/>
            <v:line id="_x0000_s1106" style="position:absolute;mso-wrap-style:none;v-text-anchor:middle" from="2752,2809" to="3127,2809"/>
            <v:line id="_x0000_s1107" style="position:absolute;mso-wrap-style:none;v-text-anchor:middle" from="2758,2555" to="3133,2555"/>
            <v:shape id="_x0000_s1108" type="#_x0000_t202" style="position:absolute;left:2451;top:2183;width:327;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Zero</w:t>
                    </w:r>
                  </w:p>
                </w:txbxContent>
              </v:textbox>
            </v:shape>
            <v:shape id="_x0000_s1109" type="#_x0000_t202" style="position:absolute;left:2518;top:2402;width:30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One</w:t>
                    </w:r>
                  </w:p>
                </w:txbxContent>
              </v:textbox>
            </v:shape>
            <v:shape id="_x0000_s1110" type="#_x0000_t202" style="position:absolute;left:2462;top:2719;width:321;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Two</w:t>
                    </w:r>
                  </w:p>
                </w:txbxContent>
              </v:textbox>
            </v:shape>
            <v:shape id="_x0000_s1111" type="#_x0000_t202" style="position:absolute;left:2942;top:2140;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($90, $45)</w:t>
                    </w:r>
                  </w:p>
                </w:txbxContent>
              </v:textbox>
            </v:shape>
            <v:shape id="_x0000_s1112" type="#_x0000_t202" style="position:absolute;left:2943;top:2380;width:582;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($60, $40)</w:t>
                    </w:r>
                  </w:p>
                </w:txbxContent>
              </v:textbox>
            </v:shape>
            <v:shape id="_x0000_s1113" type="#_x0000_t202" style="position:absolute;left:2942;top:2630;width:470;height:198;mso-wrap-style:none;v-text-anchor:top-baseline" filled="f" fillcolor="#0c9" stroked="f">
              <v:textbox style="mso-fit-shape-to-text:t">
                <w:txbxContent>
                  <w:p w:rsidR="00EA2436" w:rsidRDefault="00EA2436">
                    <w:pPr>
                      <w:rPr>
                        <w:snapToGrid w:val="0"/>
                        <w:color w:val="000000"/>
                        <w:sz w:val="48"/>
                      </w:rPr>
                    </w:pPr>
                    <w:r>
                      <w:rPr>
                        <w:snapToGrid w:val="0"/>
                        <w:color w:val="000000"/>
                        <w:sz w:val="28"/>
                      </w:rPr>
                      <w:t>($0, $0)</w:t>
                    </w:r>
                  </w:p>
                </w:txbxContent>
              </v:textbox>
            </v:shape>
            <v:line id="_x0000_s1114" style="position:absolute;flip:x;mso-wrap-style:none;v-text-anchor:middle" from="1061,1822" to="2442,1822"/>
            <v:line id="_x0000_s1115" style="position:absolute;mso-wrap-style:none;v-text-anchor:middle" from="1061,1827" to="2447,2551"/>
            <v:oval id="_x0000_s1116" style="position:absolute;left:2418;top:1789;width:81;height:59;mso-wrap-style:none;v-text-anchor:middle" fillcolor="#0c9"/>
            <v:oval id="_x0000_s1117" style="position:absolute;left:2418;top:2523;width:81;height:58;mso-wrap-style:none;v-text-anchor:middle" fillcolor="#0c9"/>
            <v:line id="_x0000_s1118" style="position:absolute;flip:y;mso-wrap-style:none;v-text-anchor:middle" from="1061,1068" to="2465,1827"/>
            <v:oval id="_x0000_s1119" style="position:absolute;left:2418;top:1041;width:81;height:58;mso-wrap-style:none;v-text-anchor:middle" fillcolor="#0c9"/>
            <v:oval id="_x0000_s1120" style="position:absolute;left:1030;top:1795;width:81;height:57;mso-wrap-style:none;v-text-anchor:middle" fillcolor="#0c9"/>
            <v:shape id="_x0000_s1121" type="#_x0000_t202" style="position:absolute;left:496;top:1547;width:499;height:296;mso-wrap-style:none;v-text-anchor:top-baseline" filled="f" fillcolor="#0c9" stroked="f">
              <v:textbox style="mso-fit-shape-to-text:t">
                <w:txbxContent>
                  <w:p w:rsidR="00EA2436" w:rsidRDefault="00F32020">
                    <w:pPr>
                      <w:rPr>
                        <w:snapToGrid w:val="0"/>
                        <w:color w:val="000000"/>
                        <w:sz w:val="48"/>
                      </w:rPr>
                    </w:pPr>
                    <w:r>
                      <w:rPr>
                        <w:i/>
                        <w:snapToGrid w:val="0"/>
                        <w:color w:val="000000"/>
                        <w:sz w:val="48"/>
                      </w:rPr>
                      <w:t>McD</w:t>
                    </w:r>
                  </w:p>
                </w:txbxContent>
              </v:textbox>
            </v:shape>
            <v:shape id="_x0000_s1122" type="#_x0000_t202" style="position:absolute;left:1458;top:1209;width:418;height:257;mso-wrap-style:none;v-text-anchor:top-baseline" filled="f" fillcolor="#0c9" stroked="f">
              <v:textbox style="mso-fit-shape-to-text:t">
                <w:txbxContent>
                  <w:p w:rsidR="00EA2436" w:rsidRDefault="00EA2436">
                    <w:pPr>
                      <w:rPr>
                        <w:snapToGrid w:val="0"/>
                        <w:color w:val="000000"/>
                        <w:sz w:val="48"/>
                      </w:rPr>
                    </w:pPr>
                    <w:r>
                      <w:rPr>
                        <w:snapToGrid w:val="0"/>
                        <w:color w:val="000000"/>
                        <w:sz w:val="40"/>
                      </w:rPr>
                      <w:t>Zero</w:t>
                    </w:r>
                  </w:p>
                </w:txbxContent>
              </v:textbox>
            </v:shape>
            <v:shape id="_x0000_s1123" type="#_x0000_t202" style="position:absolute;left:1458;top:1608;width:382;height:257;mso-wrap-style:none;v-text-anchor:top-baseline" filled="f" fillcolor="#0c9" stroked="f">
              <v:textbox style="mso-fit-shape-to-text:t">
                <w:txbxContent>
                  <w:p w:rsidR="00EA2436" w:rsidRDefault="00EA2436">
                    <w:pPr>
                      <w:rPr>
                        <w:snapToGrid w:val="0"/>
                        <w:color w:val="000000"/>
                        <w:sz w:val="48"/>
                      </w:rPr>
                    </w:pPr>
                    <w:r>
                      <w:rPr>
                        <w:snapToGrid w:val="0"/>
                        <w:color w:val="000000"/>
                        <w:sz w:val="40"/>
                      </w:rPr>
                      <w:t>One</w:t>
                    </w:r>
                  </w:p>
                </w:txbxContent>
              </v:textbox>
            </v:shape>
            <v:shape id="_x0000_s1124" type="#_x0000_t202" style="position:absolute;left:1434;top:2122;width:409;height:257;mso-wrap-style:none;v-text-anchor:top-baseline" filled="f" fillcolor="#0c9" stroked="f">
              <v:textbox style="mso-fit-shape-to-text:t">
                <w:txbxContent>
                  <w:p w:rsidR="00EA2436" w:rsidRDefault="00EA2436">
                    <w:pPr>
                      <w:rPr>
                        <w:snapToGrid w:val="0"/>
                        <w:color w:val="000000"/>
                        <w:sz w:val="48"/>
                      </w:rPr>
                    </w:pPr>
                    <w:r>
                      <w:rPr>
                        <w:snapToGrid w:val="0"/>
                        <w:color w:val="000000"/>
                        <w:sz w:val="40"/>
                      </w:rPr>
                      <w:t>Two</w:t>
                    </w:r>
                  </w:p>
                </w:txbxContent>
              </v:textbox>
            </v:shape>
            <v:shape id="_x0000_s1125" type="#_x0000_t202" style="position:absolute;left:2084;top:1575;width:321;height:257;mso-wrap-style:none;v-text-anchor:top-baseline" filled="f" fillcolor="#0c9" stroked="f">
              <v:textbox style="mso-fit-shape-to-text:t">
                <w:txbxContent>
                  <w:p w:rsidR="00EA2436" w:rsidRDefault="00F32020">
                    <w:pPr>
                      <w:rPr>
                        <w:snapToGrid w:val="0"/>
                        <w:color w:val="000000"/>
                        <w:sz w:val="48"/>
                      </w:rPr>
                    </w:pPr>
                    <w:r>
                      <w:rPr>
                        <w:i/>
                        <w:snapToGrid w:val="0"/>
                        <w:color w:val="000000"/>
                        <w:sz w:val="40"/>
                      </w:rPr>
                      <w:t>BK</w:t>
                    </w:r>
                  </w:p>
                </w:txbxContent>
              </v:textbox>
            </v:shape>
            <v:shape id="_x0000_s1126" type="#_x0000_t202" style="position:absolute;left:2060;top:852;width:321;height:257;mso-wrap-style:none;v-text-anchor:top-baseline" filled="f" fillcolor="#0c9" stroked="f">
              <v:textbox style="mso-fit-shape-to-text:t">
                <w:txbxContent>
                  <w:p w:rsidR="00EA2436" w:rsidRDefault="00F32020">
                    <w:pPr>
                      <w:rPr>
                        <w:snapToGrid w:val="0"/>
                        <w:color w:val="000000"/>
                        <w:sz w:val="48"/>
                      </w:rPr>
                    </w:pPr>
                    <w:r>
                      <w:rPr>
                        <w:i/>
                        <w:snapToGrid w:val="0"/>
                        <w:color w:val="000000"/>
                        <w:sz w:val="40"/>
                      </w:rPr>
                      <w:t>BK</w:t>
                    </w:r>
                  </w:p>
                </w:txbxContent>
              </v:textbox>
            </v:shape>
            <v:shape id="_x0000_s1127" type="#_x0000_t202" style="position:absolute;left:2051;top:2530;width:321;height:257;mso-wrap-style:none;v-text-anchor:top-baseline" filled="f" fillcolor="#0c9" stroked="f">
              <v:textbox style="mso-fit-shape-to-text:t">
                <w:txbxContent>
                  <w:p w:rsidR="00EA2436" w:rsidRDefault="00F32020">
                    <w:pPr>
                      <w:rPr>
                        <w:snapToGrid w:val="0"/>
                        <w:color w:val="000000"/>
                        <w:sz w:val="48"/>
                      </w:rPr>
                    </w:pPr>
                    <w:r>
                      <w:rPr>
                        <w:i/>
                        <w:snapToGrid w:val="0"/>
                        <w:color w:val="000000"/>
                        <w:sz w:val="40"/>
                      </w:rPr>
                      <w:t>BK</w:t>
                    </w:r>
                  </w:p>
                </w:txbxContent>
              </v:textbox>
            </v:shape>
          </v:group>
        </w:pict>
      </w:r>
    </w:p>
    <w:p w:rsidR="00EA2436" w:rsidRDefault="00EA2436">
      <w:pPr>
        <w:rPr>
          <w:u w:val="single"/>
        </w:rPr>
      </w:pPr>
    </w:p>
    <w:p w:rsidR="00EA2436" w:rsidRDefault="00EA2436">
      <w:pPr>
        <w:jc w:val="both"/>
      </w:pPr>
      <w:r>
        <w:t xml:space="preserve"> </w:t>
      </w: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7B28F3">
      <w:pPr>
        <w:jc w:val="both"/>
      </w:pPr>
      <w:r>
        <w:t>McDonald’s</w:t>
      </w:r>
      <w:r w:rsidR="00EA2436">
        <w:t xml:space="preserve"> plays first, but </w:t>
      </w:r>
      <w:r>
        <w:t>Burger King</w:t>
      </w:r>
      <w:r w:rsidR="00EA2436">
        <w:t xml:space="preserve"> knows what action </w:t>
      </w:r>
      <w:r>
        <w:t>McDonald’s</w:t>
      </w:r>
      <w:r w:rsidR="00EA2436">
        <w:t xml:space="preserve"> has chosen.  To select its optimal action, therefore, </w:t>
      </w:r>
      <w:r>
        <w:t>McDonald’s</w:t>
      </w:r>
      <w:r w:rsidR="00EA2436">
        <w:t xml:space="preserve"> must anticipate what </w:t>
      </w:r>
      <w:r>
        <w:t>Burger King</w:t>
      </w:r>
      <w:r w:rsidR="00EA2436">
        <w:t xml:space="preserve"> will do in response to each potential action.  For example, if </w:t>
      </w:r>
      <w:r>
        <w:t>McDonald’s opens zero outlets</w:t>
      </w:r>
      <w:r w:rsidR="00EA2436">
        <w:t xml:space="preserve">, </w:t>
      </w:r>
      <w:r>
        <w:t>Burger King</w:t>
      </w:r>
      <w:r w:rsidR="00EA2436">
        <w:t xml:space="preserve"> is at the top branch of the tree.  Adding one is the optimal action for </w:t>
      </w:r>
      <w:r>
        <w:t>Burger King</w:t>
      </w:r>
      <w:r w:rsidR="00EA2436">
        <w:t xml:space="preserve">, because its payoffs ($100 vs. $90 or $90) are the highest.  </w:t>
      </w:r>
      <w:r w:rsidR="00EA2436">
        <w:lastRenderedPageBreak/>
        <w:t xml:space="preserve">Similarly, </w:t>
      </w:r>
      <w:r>
        <w:t>Burger King</w:t>
      </w:r>
      <w:r w:rsidR="00EA2436">
        <w:t xml:space="preserve"> would prefer to add one </w:t>
      </w:r>
      <w:r>
        <w:t>outlet</w:t>
      </w:r>
      <w:r w:rsidR="00EA2436">
        <w:t xml:space="preserve"> if </w:t>
      </w:r>
      <w:r>
        <w:t>McDonald’s</w:t>
      </w:r>
      <w:r w:rsidR="00EA2436">
        <w:t xml:space="preserve"> adds one and none if </w:t>
      </w:r>
      <w:r>
        <w:t>McDonald’s</w:t>
      </w:r>
      <w:r w:rsidR="00EA2436">
        <w:t xml:space="preserve"> adds two.</w:t>
      </w:r>
    </w:p>
    <w:p w:rsidR="00EA2436" w:rsidRDefault="00EA2436">
      <w:pPr>
        <w:jc w:val="both"/>
      </w:pPr>
    </w:p>
    <w:p w:rsidR="00EA2436" w:rsidRDefault="00EA2436">
      <w:pPr>
        <w:jc w:val="both"/>
      </w:pPr>
      <w:r>
        <w:t xml:space="preserve">Having identified what </w:t>
      </w:r>
      <w:r w:rsidR="007B28F3">
        <w:t>Burger King</w:t>
      </w:r>
      <w:r>
        <w:t xml:space="preserve"> will do in each scenario narrows down </w:t>
      </w:r>
      <w:r w:rsidR="007B28F3">
        <w:t>McDonald</w:t>
      </w:r>
      <w:r>
        <w:t xml:space="preserve">’s choice.  Adding two </w:t>
      </w:r>
      <w:r w:rsidR="007B28F3">
        <w:t>outlets</w:t>
      </w:r>
      <w:r>
        <w:t xml:space="preserve"> is </w:t>
      </w:r>
      <w:r w:rsidR="007B28F3">
        <w:t>McDonald’</w:t>
      </w:r>
      <w:r>
        <w:t xml:space="preserve">s optimal action because the payoffs are highest ($90 vs. $75 vs. $80) given what </w:t>
      </w:r>
      <w:r w:rsidR="007B28F3">
        <w:t>Burger King</w:t>
      </w:r>
      <w:r>
        <w:t xml:space="preserve"> will subsequently do.  This represents a sort of </w:t>
      </w:r>
      <w:r>
        <w:rPr>
          <w:b/>
        </w:rPr>
        <w:t>first-mover advantage</w:t>
      </w:r>
      <w:r>
        <w:t xml:space="preserve"> — by committing to increase its capacity first, </w:t>
      </w:r>
      <w:r w:rsidR="007B28F3">
        <w:t>McDonald’s</w:t>
      </w:r>
      <w:r>
        <w:t xml:space="preserve"> earns a higher profit.</w:t>
      </w:r>
    </w:p>
    <w:p w:rsidR="00EA2436" w:rsidRDefault="00EA2436">
      <w:pPr>
        <w:jc w:val="both"/>
      </w:pPr>
    </w:p>
    <w:p w:rsidR="00EA2436" w:rsidRDefault="00EA2436">
      <w:pPr>
        <w:jc w:val="both"/>
      </w:pPr>
    </w:p>
    <w:p w:rsidR="00EA2436" w:rsidRDefault="00734953">
      <w:pPr>
        <w:jc w:val="both"/>
      </w:pPr>
      <w:r>
        <w:rPr>
          <w:noProof/>
        </w:rPr>
        <w:pict>
          <v:group id="_x0000_s1179" style="position:absolute;left:0;text-align:left;margin-left:18pt;margin-top:5.15pt;width:385.5pt;height:265.9pt;z-index:2" coordorigin="496,658" coordsize="3084,2259" o:allowincell="f">
            <v:line id="_x0000_s1180" style="position:absolute;flip:y;mso-wrap-style:none;v-text-anchor:middle" from="2451,834" to="2739,1074"/>
            <v:line id="_x0000_s1181" style="position:absolute;mso-wrap-style:none;v-text-anchor:middle" from="2451,1074" to="2774,1074"/>
            <v:line id="_x0000_s1182" style="position:absolute;mso-wrap-style:none;v-text-anchor:middle" from="2447,1071" to="2752,1324"/>
            <v:line id="_x0000_s1183" style="position:absolute;mso-wrap-style:none;v-text-anchor:middle" from="2740,833" to="3115,833"/>
            <v:line id="_x0000_s1184" style="position:absolute;mso-wrap-style:none;v-text-anchor:middle" from="2752,1327" to="3127,1327"/>
            <v:line id="_x0000_s1185" style="position:absolute;mso-wrap-style:none;v-text-anchor:middle" from="2758,1073" to="3133,1073"/>
            <v:shape id="_x0000_s1186" type="#_x0000_t202" style="position:absolute;left:2458;top:701;width:327;height:198;mso-wrap-style:none;v-text-anchor:top-baseline" filled="f" fillcolor="#0c9" stroked="f">
              <v:textbox style="mso-next-textbox:#_x0000_s1186;mso-fit-shape-to-text:t">
                <w:txbxContent>
                  <w:p w:rsidR="00EA2436" w:rsidRDefault="00EA2436">
                    <w:pPr>
                      <w:rPr>
                        <w:snapToGrid w:val="0"/>
                        <w:color w:val="000000"/>
                        <w:sz w:val="48"/>
                      </w:rPr>
                    </w:pPr>
                    <w:r>
                      <w:rPr>
                        <w:snapToGrid w:val="0"/>
                        <w:color w:val="000000"/>
                        <w:sz w:val="28"/>
                      </w:rPr>
                      <w:t>Zero</w:t>
                    </w:r>
                  </w:p>
                </w:txbxContent>
              </v:textbox>
            </v:shape>
            <v:shape id="_x0000_s1187" type="#_x0000_t202" style="position:absolute;left:2542;top:903;width:286;height:179;mso-wrap-style:none;v-text-anchor:top-baseline" filled="f" fillcolor="#0c9" stroked="f">
              <v:textbox style="mso-next-textbox:#_x0000_s1187;mso-fit-shape-to-text:t">
                <w:txbxContent>
                  <w:p w:rsidR="00EA2436" w:rsidRPr="00076E6A" w:rsidRDefault="00EA2436">
                    <w:pPr>
                      <w:rPr>
                        <w:snapToGrid w:val="0"/>
                        <w:color w:val="000000"/>
                        <w:sz w:val="24"/>
                        <w:szCs w:val="24"/>
                      </w:rPr>
                    </w:pPr>
                    <w:r w:rsidRPr="00076E6A">
                      <w:rPr>
                        <w:b/>
                        <w:snapToGrid w:val="0"/>
                        <w:color w:val="000000"/>
                        <w:sz w:val="24"/>
                        <w:szCs w:val="24"/>
                        <w:u w:val="single"/>
                      </w:rPr>
                      <w:t>One</w:t>
                    </w:r>
                  </w:p>
                </w:txbxContent>
              </v:textbox>
            </v:shape>
            <v:shape id="_x0000_s1188" type="#_x0000_t202" style="position:absolute;left:2478;top:1241;width:321;height:198;mso-wrap-style:none;v-text-anchor:top-baseline" filled="f" fillcolor="#0c9" stroked="f">
              <v:textbox style="mso-next-textbox:#_x0000_s1188;mso-fit-shape-to-text:t">
                <w:txbxContent>
                  <w:p w:rsidR="00EA2436" w:rsidRDefault="00EA2436">
                    <w:pPr>
                      <w:rPr>
                        <w:snapToGrid w:val="0"/>
                        <w:color w:val="000000"/>
                        <w:sz w:val="48"/>
                      </w:rPr>
                    </w:pPr>
                    <w:r>
                      <w:rPr>
                        <w:snapToGrid w:val="0"/>
                        <w:color w:val="000000"/>
                        <w:sz w:val="28"/>
                      </w:rPr>
                      <w:t>Two</w:t>
                    </w:r>
                  </w:p>
                </w:txbxContent>
              </v:textbox>
            </v:shape>
            <v:shape id="_x0000_s1189" type="#_x0000_t202" style="position:absolute;left:2942;top:658;width:582;height:335;v-text-anchor:top-baseline" filled="f" fillcolor="#0c9" stroked="f">
              <v:textbox style="mso-next-textbox:#_x0000_s1189;mso-fit-shape-to-text:t">
                <w:txbxContent>
                  <w:p w:rsidR="00EA2436" w:rsidRDefault="00EA2436">
                    <w:pPr>
                      <w:rPr>
                        <w:snapToGrid w:val="0"/>
                        <w:color w:val="000000"/>
                        <w:sz w:val="48"/>
                      </w:rPr>
                    </w:pPr>
                    <w:r>
                      <w:rPr>
                        <w:snapToGrid w:val="0"/>
                        <w:color w:val="000000"/>
                        <w:sz w:val="28"/>
                      </w:rPr>
                      <w:t>($90, $90)</w:t>
                    </w:r>
                  </w:p>
                </w:txbxContent>
              </v:textbox>
            </v:shape>
            <v:shape id="_x0000_s1190" type="#_x0000_t202" style="position:absolute;left:2942;top:897;width:638;height:198;mso-wrap-style:none;v-text-anchor:top-baseline" filled="f" fillcolor="#0c9" stroked="f">
              <v:textbox style="mso-next-textbox:#_x0000_s1190;mso-fit-shape-to-text:t">
                <w:txbxContent>
                  <w:p w:rsidR="00EA2436" w:rsidRDefault="00EA2436">
                    <w:pPr>
                      <w:rPr>
                        <w:snapToGrid w:val="0"/>
                        <w:color w:val="000000"/>
                        <w:sz w:val="48"/>
                      </w:rPr>
                    </w:pPr>
                    <w:r>
                      <w:rPr>
                        <w:b/>
                        <w:snapToGrid w:val="0"/>
                        <w:color w:val="000000"/>
                        <w:sz w:val="28"/>
                        <w:u w:val="single"/>
                      </w:rPr>
                      <w:t>($75, $100)</w:t>
                    </w:r>
                  </w:p>
                </w:txbxContent>
              </v:textbox>
            </v:shape>
            <v:shape id="_x0000_s1191" type="#_x0000_t202" style="position:absolute;left:2942;top:1147;width:582;height:198;mso-wrap-style:none;v-text-anchor:top-baseline" filled="f" fillcolor="#0c9" stroked="f">
              <v:textbox style="mso-next-textbox:#_x0000_s1191;mso-fit-shape-to-text:t">
                <w:txbxContent>
                  <w:p w:rsidR="00EA2436" w:rsidRDefault="00EA2436">
                    <w:pPr>
                      <w:rPr>
                        <w:snapToGrid w:val="0"/>
                        <w:color w:val="000000"/>
                        <w:sz w:val="48"/>
                      </w:rPr>
                    </w:pPr>
                    <w:r>
                      <w:rPr>
                        <w:snapToGrid w:val="0"/>
                        <w:color w:val="000000"/>
                        <w:sz w:val="28"/>
                      </w:rPr>
                      <w:t>($45, $90)</w:t>
                    </w:r>
                  </w:p>
                </w:txbxContent>
              </v:textbox>
            </v:shape>
            <v:line id="_x0000_s1192" style="position:absolute;flip:y;mso-wrap-style:none;v-text-anchor:middle" from="2451,1584" to="2739,1823"/>
            <v:line id="_x0000_s1193" style="position:absolute;mso-wrap-style:none;v-text-anchor:middle" from="2451,1823" to="2774,1823"/>
            <v:line id="_x0000_s1194" style="position:absolute;mso-wrap-style:none;v-text-anchor:middle" from="2447,1819" to="2752,2072"/>
            <v:line id="_x0000_s1195" style="position:absolute;mso-wrap-style:none;v-text-anchor:middle" from="2740,1581" to="3115,1581"/>
            <v:line id="_x0000_s1196" style="position:absolute;mso-wrap-style:none;v-text-anchor:middle" from="2752,2075" to="3127,2075"/>
            <v:line id="_x0000_s1197" style="position:absolute;mso-wrap-style:none;v-text-anchor:middle" from="2758,1821" to="3133,1821"/>
            <v:shape id="_x0000_s1198" type="#_x0000_t202" style="position:absolute;left:2450;top:1460;width:327;height:198;mso-wrap-style:none;v-text-anchor:top-baseline" filled="f" fillcolor="#0c9" stroked="f">
              <v:textbox style="mso-next-textbox:#_x0000_s1198;mso-fit-shape-to-text:t">
                <w:txbxContent>
                  <w:p w:rsidR="00EA2436" w:rsidRDefault="00EA2436">
                    <w:pPr>
                      <w:rPr>
                        <w:snapToGrid w:val="0"/>
                        <w:color w:val="000000"/>
                        <w:sz w:val="48"/>
                      </w:rPr>
                    </w:pPr>
                    <w:r>
                      <w:rPr>
                        <w:snapToGrid w:val="0"/>
                        <w:color w:val="000000"/>
                        <w:sz w:val="28"/>
                      </w:rPr>
                      <w:t>Zero</w:t>
                    </w:r>
                  </w:p>
                </w:txbxContent>
              </v:textbox>
            </v:shape>
            <v:shape id="_x0000_s1199" type="#_x0000_t202" style="position:absolute;left:2542;top:1653;width:286;height:178;mso-wrap-style:none;v-text-anchor:top-baseline" filled="f" fillcolor="#0c9" stroked="f">
              <v:textbox style="mso-next-textbox:#_x0000_s1199;mso-fit-shape-to-text:t">
                <w:txbxContent>
                  <w:p w:rsidR="00EA2436" w:rsidRPr="00076E6A" w:rsidRDefault="00EA2436">
                    <w:pPr>
                      <w:rPr>
                        <w:snapToGrid w:val="0"/>
                        <w:color w:val="000000"/>
                        <w:sz w:val="24"/>
                        <w:szCs w:val="24"/>
                      </w:rPr>
                    </w:pPr>
                    <w:r w:rsidRPr="00076E6A">
                      <w:rPr>
                        <w:b/>
                        <w:snapToGrid w:val="0"/>
                        <w:color w:val="000000"/>
                        <w:sz w:val="24"/>
                        <w:szCs w:val="24"/>
                        <w:u w:val="single"/>
                      </w:rPr>
                      <w:t>One</w:t>
                    </w:r>
                  </w:p>
                </w:txbxContent>
              </v:textbox>
            </v:shape>
            <v:shape id="_x0000_s1200" type="#_x0000_t202" style="position:absolute;left:2462;top:1979;width:321;height:198;mso-wrap-style:none;v-text-anchor:top-baseline" filled="f" fillcolor="#0c9" stroked="f">
              <v:textbox style="mso-next-textbox:#_x0000_s1200;mso-fit-shape-to-text:t">
                <w:txbxContent>
                  <w:p w:rsidR="00EA2436" w:rsidRDefault="00EA2436">
                    <w:pPr>
                      <w:rPr>
                        <w:snapToGrid w:val="0"/>
                        <w:color w:val="000000"/>
                        <w:sz w:val="48"/>
                      </w:rPr>
                    </w:pPr>
                    <w:r>
                      <w:rPr>
                        <w:snapToGrid w:val="0"/>
                        <w:color w:val="000000"/>
                        <w:sz w:val="28"/>
                      </w:rPr>
                      <w:t>Two</w:t>
                    </w:r>
                  </w:p>
                </w:txbxContent>
              </v:textbox>
            </v:shape>
            <v:shape id="_x0000_s1201" type="#_x0000_t202" style="position:absolute;left:2942;top:1406;width:638;height:198;mso-wrap-style:none;v-text-anchor:top-baseline" filled="f" fillcolor="#0c9" stroked="f">
              <v:textbox style="mso-next-textbox:#_x0000_s1201;mso-fit-shape-to-text:t">
                <w:txbxContent>
                  <w:p w:rsidR="00EA2436" w:rsidRDefault="00EA2436">
                    <w:pPr>
                      <w:rPr>
                        <w:snapToGrid w:val="0"/>
                        <w:color w:val="000000"/>
                        <w:sz w:val="48"/>
                      </w:rPr>
                    </w:pPr>
                    <w:r>
                      <w:rPr>
                        <w:snapToGrid w:val="0"/>
                        <w:color w:val="000000"/>
                        <w:sz w:val="28"/>
                      </w:rPr>
                      <w:t>($100, $75)</w:t>
                    </w:r>
                  </w:p>
                </w:txbxContent>
              </v:textbox>
            </v:shape>
            <v:shape id="_x0000_s1202" type="#_x0000_t202" style="position:absolute;left:2942;top:1646;width:582;height:198;mso-wrap-style:none;v-text-anchor:top-baseline" filled="f" fillcolor="#0c9" stroked="f">
              <v:textbox style="mso-next-textbox:#_x0000_s1202;mso-fit-shape-to-text:t">
                <w:txbxContent>
                  <w:p w:rsidR="00EA2436" w:rsidRDefault="00EA2436">
                    <w:pPr>
                      <w:rPr>
                        <w:snapToGrid w:val="0"/>
                        <w:color w:val="000000"/>
                        <w:sz w:val="48"/>
                      </w:rPr>
                    </w:pPr>
                    <w:r>
                      <w:rPr>
                        <w:b/>
                        <w:snapToGrid w:val="0"/>
                        <w:color w:val="000000"/>
                        <w:sz w:val="28"/>
                        <w:u w:val="single"/>
                      </w:rPr>
                      <w:t>($80, $80)</w:t>
                    </w:r>
                  </w:p>
                </w:txbxContent>
              </v:textbox>
            </v:shape>
            <v:shape id="_x0000_s1203" type="#_x0000_t202" style="position:absolute;left:2942;top:1896;width:582;height:198;mso-wrap-style:none;v-text-anchor:top-baseline" filled="f" fillcolor="#0c9" stroked="f">
              <v:textbox style="mso-next-textbox:#_x0000_s1203;mso-fit-shape-to-text:t">
                <w:txbxContent>
                  <w:p w:rsidR="00EA2436" w:rsidRDefault="00EA2436">
                    <w:pPr>
                      <w:rPr>
                        <w:snapToGrid w:val="0"/>
                        <w:color w:val="000000"/>
                        <w:sz w:val="48"/>
                      </w:rPr>
                    </w:pPr>
                    <w:r>
                      <w:rPr>
                        <w:snapToGrid w:val="0"/>
                        <w:color w:val="000000"/>
                        <w:sz w:val="28"/>
                      </w:rPr>
                      <w:t>($40, $60)</w:t>
                    </w:r>
                  </w:p>
                </w:txbxContent>
              </v:textbox>
            </v:shape>
            <v:line id="_x0000_s1204" style="position:absolute;flip:y;mso-wrap-style:none;v-text-anchor:middle" from="2451,2317" to="2739,2556"/>
            <v:line id="_x0000_s1205" style="position:absolute;mso-wrap-style:none;v-text-anchor:middle" from="2451,2556" to="2774,2556"/>
            <v:line id="_x0000_s1206" style="position:absolute;mso-wrap-style:none;v-text-anchor:middle" from="2447,2553" to="2752,2806"/>
            <v:line id="_x0000_s1207" style="position:absolute;mso-wrap-style:none;v-text-anchor:middle" from="2740,2315" to="3115,2315"/>
            <v:line id="_x0000_s1208" style="position:absolute;mso-wrap-style:none;v-text-anchor:middle" from="2752,2809" to="3127,2809"/>
            <v:line id="_x0000_s1209" style="position:absolute;mso-wrap-style:none;v-text-anchor:middle" from="2758,2555" to="3133,2555"/>
            <v:shape id="_x0000_s1210" type="#_x0000_t202" style="position:absolute;left:2411;top:2167;width:313;height:178;mso-wrap-style:none;v-text-anchor:top-baseline" filled="f" fillcolor="#0c9" stroked="f">
              <v:textbox style="mso-next-textbox:#_x0000_s1210;mso-fit-shape-to-text:t">
                <w:txbxContent>
                  <w:p w:rsidR="00EA2436" w:rsidRPr="00076E6A" w:rsidRDefault="00EA2436">
                    <w:pPr>
                      <w:rPr>
                        <w:snapToGrid w:val="0"/>
                        <w:color w:val="000000"/>
                        <w:sz w:val="24"/>
                        <w:szCs w:val="24"/>
                      </w:rPr>
                    </w:pPr>
                    <w:r w:rsidRPr="00076E6A">
                      <w:rPr>
                        <w:b/>
                        <w:snapToGrid w:val="0"/>
                        <w:color w:val="000000"/>
                        <w:sz w:val="24"/>
                        <w:szCs w:val="24"/>
                        <w:u w:val="single"/>
                      </w:rPr>
                      <w:t>Zero</w:t>
                    </w:r>
                  </w:p>
                </w:txbxContent>
              </v:textbox>
            </v:shape>
            <v:shape id="_x0000_s1211" type="#_x0000_t202" style="position:absolute;left:2518;top:2402;width:302;height:198;mso-wrap-style:none;v-text-anchor:top-baseline" filled="f" fillcolor="#0c9" stroked="f">
              <v:textbox style="mso-next-textbox:#_x0000_s1211;mso-fit-shape-to-text:t">
                <w:txbxContent>
                  <w:p w:rsidR="00EA2436" w:rsidRDefault="00EA2436">
                    <w:pPr>
                      <w:rPr>
                        <w:snapToGrid w:val="0"/>
                        <w:color w:val="000000"/>
                        <w:sz w:val="48"/>
                      </w:rPr>
                    </w:pPr>
                    <w:r>
                      <w:rPr>
                        <w:snapToGrid w:val="0"/>
                        <w:color w:val="000000"/>
                        <w:sz w:val="28"/>
                      </w:rPr>
                      <w:t>One</w:t>
                    </w:r>
                  </w:p>
                </w:txbxContent>
              </v:textbox>
            </v:shape>
            <v:shape id="_x0000_s1212" type="#_x0000_t202" style="position:absolute;left:2462;top:2719;width:321;height:198;mso-wrap-style:none;v-text-anchor:top-baseline" filled="f" fillcolor="#0c9" stroked="f">
              <v:textbox style="mso-next-textbox:#_x0000_s1212;mso-fit-shape-to-text:t">
                <w:txbxContent>
                  <w:p w:rsidR="00EA2436" w:rsidRDefault="00EA2436">
                    <w:pPr>
                      <w:rPr>
                        <w:snapToGrid w:val="0"/>
                        <w:color w:val="000000"/>
                        <w:sz w:val="48"/>
                      </w:rPr>
                    </w:pPr>
                    <w:r>
                      <w:rPr>
                        <w:snapToGrid w:val="0"/>
                        <w:color w:val="000000"/>
                        <w:sz w:val="28"/>
                      </w:rPr>
                      <w:t>Two</w:t>
                    </w:r>
                  </w:p>
                </w:txbxContent>
              </v:textbox>
            </v:shape>
            <v:shape id="_x0000_s1213" type="#_x0000_t202" style="position:absolute;left:2942;top:2140;width:582;height:198;mso-wrap-style:none;v-text-anchor:top-baseline" filled="f" fillcolor="#0c9" stroked="f">
              <v:textbox style="mso-next-textbox:#_x0000_s1213;mso-fit-shape-to-text:t">
                <w:txbxContent>
                  <w:p w:rsidR="00EA2436" w:rsidRDefault="00EA2436">
                    <w:pPr>
                      <w:rPr>
                        <w:snapToGrid w:val="0"/>
                        <w:color w:val="000000"/>
                        <w:sz w:val="48"/>
                      </w:rPr>
                    </w:pPr>
                    <w:r>
                      <w:rPr>
                        <w:b/>
                        <w:snapToGrid w:val="0"/>
                        <w:color w:val="000000"/>
                        <w:sz w:val="28"/>
                        <w:u w:val="single"/>
                      </w:rPr>
                      <w:t>($90, $45)</w:t>
                    </w:r>
                  </w:p>
                </w:txbxContent>
              </v:textbox>
            </v:shape>
            <v:shape id="_x0000_s1214" type="#_x0000_t202" style="position:absolute;left:2943;top:2380;width:582;height:198;mso-wrap-style:none;v-text-anchor:top-baseline" filled="f" fillcolor="#0c9" stroked="f">
              <v:textbox style="mso-next-textbox:#_x0000_s1214;mso-fit-shape-to-text:t">
                <w:txbxContent>
                  <w:p w:rsidR="00EA2436" w:rsidRDefault="00EA2436">
                    <w:pPr>
                      <w:rPr>
                        <w:snapToGrid w:val="0"/>
                        <w:color w:val="000000"/>
                        <w:sz w:val="48"/>
                      </w:rPr>
                    </w:pPr>
                    <w:r>
                      <w:rPr>
                        <w:snapToGrid w:val="0"/>
                        <w:color w:val="000000"/>
                        <w:sz w:val="28"/>
                      </w:rPr>
                      <w:t>($60, $40)</w:t>
                    </w:r>
                  </w:p>
                </w:txbxContent>
              </v:textbox>
            </v:shape>
            <v:shape id="_x0000_s1215" type="#_x0000_t202" style="position:absolute;left:2942;top:2630;width:470;height:198;mso-wrap-style:none;v-text-anchor:top-baseline" filled="f" fillcolor="#0c9" stroked="f">
              <v:textbox style="mso-next-textbox:#_x0000_s1215;mso-fit-shape-to-text:t">
                <w:txbxContent>
                  <w:p w:rsidR="00EA2436" w:rsidRDefault="00EA2436">
                    <w:pPr>
                      <w:rPr>
                        <w:snapToGrid w:val="0"/>
                        <w:color w:val="000000"/>
                        <w:sz w:val="48"/>
                      </w:rPr>
                    </w:pPr>
                    <w:r>
                      <w:rPr>
                        <w:snapToGrid w:val="0"/>
                        <w:color w:val="000000"/>
                        <w:sz w:val="28"/>
                      </w:rPr>
                      <w:t>($0, $0)</w:t>
                    </w:r>
                  </w:p>
                </w:txbxContent>
              </v:textbox>
            </v:shape>
            <v:line id="_x0000_s1216" style="position:absolute;flip:x;mso-wrap-style:none;v-text-anchor:middle" from="1061,1822" to="2442,1822"/>
            <v:line id="_x0000_s1217" style="position:absolute;mso-wrap-style:none;v-text-anchor:middle" from="1061,1827" to="2447,2551"/>
            <v:oval id="_x0000_s1218" style="position:absolute;left:2418;top:1789;width:81;height:59;mso-wrap-style:none;v-text-anchor:middle" fillcolor="#0c9"/>
            <v:oval id="_x0000_s1219" style="position:absolute;left:2418;top:2523;width:81;height:58;mso-wrap-style:none;v-text-anchor:middle" fillcolor="#0c9"/>
            <v:line id="_x0000_s1220" style="position:absolute;flip:y;mso-wrap-style:none;v-text-anchor:middle" from="1061,1068" to="2465,1827"/>
            <v:oval id="_x0000_s1221" style="position:absolute;left:2418;top:1041;width:81;height:58;mso-wrap-style:none;v-text-anchor:middle" fillcolor="#0c9"/>
            <v:oval id="_x0000_s1222" style="position:absolute;left:1030;top:1795;width:81;height:57;mso-wrap-style:none;v-text-anchor:middle" fillcolor="#0c9"/>
            <v:shape id="_x0000_s1223" type="#_x0000_t202" style="position:absolute;left:496;top:1547;width:499;height:296;mso-wrap-style:none;v-text-anchor:top-baseline" filled="f" fillcolor="#0c9" stroked="f">
              <v:textbox style="mso-next-textbox:#_x0000_s1223;mso-fit-shape-to-text:t">
                <w:txbxContent>
                  <w:p w:rsidR="00EA2436" w:rsidRDefault="00F32020">
                    <w:pPr>
                      <w:rPr>
                        <w:snapToGrid w:val="0"/>
                        <w:color w:val="000000"/>
                        <w:sz w:val="48"/>
                      </w:rPr>
                    </w:pPr>
                    <w:r>
                      <w:rPr>
                        <w:i/>
                        <w:snapToGrid w:val="0"/>
                        <w:color w:val="000000"/>
                        <w:sz w:val="48"/>
                      </w:rPr>
                      <w:t>McD</w:t>
                    </w:r>
                  </w:p>
                </w:txbxContent>
              </v:textbox>
            </v:shape>
            <v:shape id="_x0000_s1224" type="#_x0000_t202" style="position:absolute;left:1458;top:1209;width:418;height:257;mso-wrap-style:none;v-text-anchor:top-baseline" filled="f" fillcolor="#0c9" stroked="f">
              <v:textbox style="mso-next-textbox:#_x0000_s1224;mso-fit-shape-to-text:t">
                <w:txbxContent>
                  <w:p w:rsidR="00EA2436" w:rsidRDefault="00EA2436">
                    <w:pPr>
                      <w:rPr>
                        <w:snapToGrid w:val="0"/>
                        <w:color w:val="000000"/>
                        <w:sz w:val="48"/>
                      </w:rPr>
                    </w:pPr>
                    <w:r>
                      <w:rPr>
                        <w:snapToGrid w:val="0"/>
                        <w:color w:val="000000"/>
                        <w:sz w:val="40"/>
                      </w:rPr>
                      <w:t>Zero</w:t>
                    </w:r>
                  </w:p>
                </w:txbxContent>
              </v:textbox>
            </v:shape>
            <v:shape id="_x0000_s1225" type="#_x0000_t202" style="position:absolute;left:1458;top:1608;width:382;height:452;v-text-anchor:top-baseline" filled="f" fillcolor="#0c9" stroked="f">
              <v:textbox style="mso-next-textbox:#_x0000_s1225;mso-fit-shape-to-text:t">
                <w:txbxContent>
                  <w:p w:rsidR="00EA2436" w:rsidRDefault="00EA2436">
                    <w:pPr>
                      <w:rPr>
                        <w:snapToGrid w:val="0"/>
                        <w:color w:val="000000"/>
                        <w:sz w:val="48"/>
                      </w:rPr>
                    </w:pPr>
                    <w:r>
                      <w:rPr>
                        <w:snapToGrid w:val="0"/>
                        <w:color w:val="000000"/>
                        <w:sz w:val="40"/>
                      </w:rPr>
                      <w:t>One</w:t>
                    </w:r>
                  </w:p>
                </w:txbxContent>
              </v:textbox>
            </v:shape>
            <v:shape id="_x0000_s1226" type="#_x0000_t202" style="position:absolute;left:1434;top:2122;width:409;height:256;mso-wrap-style:none;v-text-anchor:top-baseline" filled="f" fillcolor="#0c9" stroked="f">
              <v:textbox style="mso-next-textbox:#_x0000_s1226;mso-fit-shape-to-text:t">
                <w:txbxContent>
                  <w:p w:rsidR="00EA2436" w:rsidRDefault="00EA2436">
                    <w:pPr>
                      <w:rPr>
                        <w:snapToGrid w:val="0"/>
                        <w:color w:val="000000"/>
                        <w:sz w:val="48"/>
                      </w:rPr>
                    </w:pPr>
                    <w:r>
                      <w:rPr>
                        <w:snapToGrid w:val="0"/>
                        <w:color w:val="000000"/>
                        <w:sz w:val="40"/>
                      </w:rPr>
                      <w:t>Two</w:t>
                    </w:r>
                  </w:p>
                </w:txbxContent>
              </v:textbox>
            </v:shape>
            <v:shape id="_x0000_s1227" type="#_x0000_t202" style="position:absolute;left:2084;top:1575;width:321;height:257;mso-wrap-style:none;v-text-anchor:top-baseline" filled="f" fillcolor="#0c9" stroked="f">
              <v:textbox style="mso-next-textbox:#_x0000_s1227;mso-fit-shape-to-text:t">
                <w:txbxContent>
                  <w:p w:rsidR="00EA2436" w:rsidRDefault="00F32020">
                    <w:pPr>
                      <w:rPr>
                        <w:snapToGrid w:val="0"/>
                        <w:color w:val="000000"/>
                        <w:sz w:val="48"/>
                      </w:rPr>
                    </w:pPr>
                    <w:r>
                      <w:rPr>
                        <w:i/>
                        <w:snapToGrid w:val="0"/>
                        <w:color w:val="000000"/>
                        <w:sz w:val="40"/>
                      </w:rPr>
                      <w:t>BK</w:t>
                    </w:r>
                  </w:p>
                </w:txbxContent>
              </v:textbox>
            </v:shape>
            <v:shape id="_x0000_s1228" type="#_x0000_t202" style="position:absolute;left:2060;top:852;width:400;height:452;v-text-anchor:top-baseline" filled="f" fillcolor="#0c9" stroked="f">
              <v:textbox style="mso-next-textbox:#_x0000_s1228">
                <w:txbxContent>
                  <w:p w:rsidR="00EA2436" w:rsidRDefault="00F32020">
                    <w:pPr>
                      <w:rPr>
                        <w:snapToGrid w:val="0"/>
                        <w:color w:val="000000"/>
                        <w:sz w:val="48"/>
                      </w:rPr>
                    </w:pPr>
                    <w:r>
                      <w:rPr>
                        <w:i/>
                        <w:snapToGrid w:val="0"/>
                        <w:color w:val="000000"/>
                        <w:sz w:val="40"/>
                      </w:rPr>
                      <w:t>BK</w:t>
                    </w:r>
                  </w:p>
                </w:txbxContent>
              </v:textbox>
            </v:shape>
            <v:shape id="_x0000_s1229" type="#_x0000_t202" style="position:absolute;left:2051;top:2530;width:321;height:257;mso-wrap-style:none;v-text-anchor:top-baseline" filled="f" fillcolor="#0c9" stroked="f">
              <v:textbox style="mso-next-textbox:#_x0000_s1229;mso-fit-shape-to-text:t">
                <w:txbxContent>
                  <w:p w:rsidR="00EA2436" w:rsidRDefault="00F32020">
                    <w:pPr>
                      <w:rPr>
                        <w:snapToGrid w:val="0"/>
                        <w:color w:val="000000"/>
                        <w:sz w:val="48"/>
                      </w:rPr>
                    </w:pPr>
                    <w:r>
                      <w:rPr>
                        <w:i/>
                        <w:snapToGrid w:val="0"/>
                        <w:color w:val="000000"/>
                        <w:sz w:val="40"/>
                      </w:rPr>
                      <w:t>BK</w:t>
                    </w:r>
                  </w:p>
                </w:txbxContent>
              </v:textbox>
            </v:shape>
          </v:group>
        </w:pict>
      </w: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076E6A" w:rsidP="00076E6A">
      <w:pPr>
        <w:tabs>
          <w:tab w:val="left" w:pos="3435"/>
        </w:tabs>
        <w:jc w:val="both"/>
      </w:pPr>
      <w:r>
        <w:tab/>
      </w: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jc w:val="both"/>
      </w:pPr>
    </w:p>
    <w:p w:rsidR="00EA2436" w:rsidRDefault="00EA2436">
      <w:pPr>
        <w:numPr>
          <w:ilvl w:val="0"/>
          <w:numId w:val="13"/>
        </w:numPr>
        <w:jc w:val="both"/>
      </w:pPr>
      <w:r>
        <w:t xml:space="preserve">Making the Game Work </w:t>
      </w:r>
      <w:r>
        <w:rPr>
          <w:b/>
        </w:rPr>
        <w:t xml:space="preserve">For </w:t>
      </w:r>
      <w:r>
        <w:t>Your Firm</w:t>
      </w:r>
    </w:p>
    <w:p w:rsidR="00EA2436" w:rsidRDefault="00EA2436">
      <w:pPr>
        <w:jc w:val="both"/>
      </w:pPr>
    </w:p>
    <w:p w:rsidR="00EA2436" w:rsidRDefault="00EA2436">
      <w:pPr>
        <w:jc w:val="both"/>
      </w:pPr>
      <w:r>
        <w:t>When it comes right down to it, figuring out the appropriate strategy to a game is not that difficult.  Once the rules of the game have been established</w:t>
      </w:r>
      <w:r w:rsidR="00076E6A">
        <w:t xml:space="preserve"> and the payoffs for each player are revealed</w:t>
      </w:r>
      <w:r>
        <w:t>, the solution just sort of works itself out.  There are two levels, then, at which managers can use game theory:</w:t>
      </w:r>
    </w:p>
    <w:p w:rsidR="00EA2436" w:rsidRDefault="00EA2436">
      <w:pPr>
        <w:jc w:val="both"/>
      </w:pPr>
    </w:p>
    <w:p w:rsidR="00EA2436" w:rsidRDefault="00EA2436">
      <w:pPr>
        <w:numPr>
          <w:ilvl w:val="0"/>
          <w:numId w:val="14"/>
        </w:numPr>
        <w:jc w:val="both"/>
      </w:pPr>
      <w:r>
        <w:t>“Basic” Level:  This is just making sure you play the game right.  Managers must recognize that their firm’s payoffs depend on what other firms are doing and choose a strategy with other firms’ actions in mind.</w:t>
      </w:r>
    </w:p>
    <w:p w:rsidR="00EA2436" w:rsidRDefault="00EA2436">
      <w:pPr>
        <w:jc w:val="both"/>
      </w:pPr>
    </w:p>
    <w:p w:rsidR="00EA2436" w:rsidRDefault="00EA2436">
      <w:pPr>
        <w:numPr>
          <w:ilvl w:val="0"/>
          <w:numId w:val="15"/>
        </w:numPr>
        <w:jc w:val="both"/>
      </w:pPr>
      <w:r>
        <w:t xml:space="preserve">“Advanced” Level:  The optimal strategies for firms — and their payoffs — depend critically on the </w:t>
      </w:r>
      <w:r>
        <w:rPr>
          <w:b/>
          <w:u w:val="single"/>
        </w:rPr>
        <w:t>RULES of the Game</w:t>
      </w:r>
      <w:r>
        <w:t xml:space="preserve">.  To the extent that firms see this and can </w:t>
      </w:r>
      <w:r>
        <w:rPr>
          <w:b/>
        </w:rPr>
        <w:t>change</w:t>
      </w:r>
      <w:r>
        <w:t xml:space="preserve"> the rules of the game, it is possible to skew outcomes in their favor.  This can be a very profitable strategy for firms.</w:t>
      </w:r>
    </w:p>
    <w:p w:rsidR="00EA2436" w:rsidRDefault="00EA2436">
      <w:pPr>
        <w:jc w:val="both"/>
      </w:pPr>
    </w:p>
    <w:p w:rsidR="00EA2436" w:rsidRDefault="00EA2436">
      <w:pPr>
        <w:jc w:val="both"/>
      </w:pPr>
      <w:r>
        <w:t xml:space="preserve">This is why the cops questioned the suspects in separate rooms — they know that they “win” the game under those rules.  In the </w:t>
      </w:r>
      <w:r w:rsidR="007B28F3">
        <w:t>fast food</w:t>
      </w:r>
      <w:r>
        <w:t xml:space="preserve"> expansion example, </w:t>
      </w:r>
      <w:r w:rsidR="007B28F3">
        <w:t>McDonald’s</w:t>
      </w:r>
      <w:r>
        <w:t xml:space="preserve"> improves its position by being the first mover.  A prior strategy that involved acquiring the “first right to expand” turned out to be very profitable later in the capacity expansion game.  The Brandenburger and Nalebuff article </w:t>
      </w:r>
      <w:r w:rsidR="00FE720A">
        <w:t xml:space="preserve">provides a framework (PARTS) for firms to think through this process and </w:t>
      </w:r>
      <w:r>
        <w:t>cites several more examples of firms changing the game they are playing to great advantage.</w:t>
      </w:r>
    </w:p>
    <w:p w:rsidR="00013DC1" w:rsidRDefault="00013DC1">
      <w:pPr>
        <w:jc w:val="both"/>
      </w:pPr>
    </w:p>
    <w:p w:rsidR="00013DC1" w:rsidRDefault="00013DC1">
      <w:pPr>
        <w:jc w:val="both"/>
      </w:pPr>
    </w:p>
    <w:p w:rsidR="00EA2436" w:rsidRDefault="00013DC1">
      <w:pPr>
        <w:jc w:val="both"/>
      </w:pPr>
      <w:r>
        <w:t xml:space="preserve">Among the ideas in the Brandenburger and Nalebuff set up, we highlighted “Added Value” as the most compelling.  Essentially, the key idea is that in many competitive situations, individual players (firms) can identify the amount by which their own participation in the market or the competitive scenario increases the total value generated for all participants.  This is referred to as that individual player’s “added value.”  </w:t>
      </w:r>
      <w:r w:rsidR="00F83506">
        <w:t>The added value represents the maximum amount an individual player could possibly extract as a result of the competitive interaction; strategies can then be organized around maximizing the share of added value that the firm does eventually capture.</w:t>
      </w:r>
      <w:r>
        <w:t xml:space="preserve"> </w:t>
      </w:r>
    </w:p>
    <w:p w:rsidR="00F83506" w:rsidRDefault="00F83506">
      <w:pPr>
        <w:jc w:val="both"/>
      </w:pPr>
    </w:p>
    <w:p w:rsidR="00F83506" w:rsidRDefault="00F83506">
      <w:pPr>
        <w:jc w:val="both"/>
      </w:pPr>
    </w:p>
    <w:p w:rsidR="00EA2436" w:rsidRDefault="00F83506">
      <w:pPr>
        <w:numPr>
          <w:ilvl w:val="0"/>
          <w:numId w:val="13"/>
        </w:numPr>
        <w:jc w:val="both"/>
      </w:pPr>
      <w:r>
        <w:t>Additional</w:t>
      </w:r>
      <w:r w:rsidR="00EA2436">
        <w:t xml:space="preserve"> Notes</w:t>
      </w:r>
    </w:p>
    <w:p w:rsidR="00EA2436" w:rsidRDefault="00EA2436">
      <w:pPr>
        <w:jc w:val="both"/>
      </w:pPr>
    </w:p>
    <w:p w:rsidR="00EA2436" w:rsidRDefault="00EA2436">
      <w:pPr>
        <w:numPr>
          <w:ilvl w:val="0"/>
          <w:numId w:val="16"/>
        </w:numPr>
        <w:jc w:val="both"/>
      </w:pPr>
      <w:r>
        <w:t xml:space="preserve">We’ve just scratched the surface in terms of possible different rules of the game.  </w:t>
      </w:r>
      <w:r>
        <w:rPr>
          <w:b/>
        </w:rPr>
        <w:t xml:space="preserve">Dynamic games </w:t>
      </w:r>
      <w:r>
        <w:t xml:space="preserve">are ones in which timing plays a key role.  </w:t>
      </w:r>
      <w:r>
        <w:rPr>
          <w:b/>
        </w:rPr>
        <w:t>Repeated games</w:t>
      </w:r>
      <w:r>
        <w:t xml:space="preserve"> are played by the same players several times, which often leads to different outcomes.  Also, firms may not be completely aware of the potential actions and payoffs of their competitors — that is, there may be </w:t>
      </w:r>
      <w:r>
        <w:rPr>
          <w:b/>
        </w:rPr>
        <w:t>incomplete information</w:t>
      </w:r>
      <w:r>
        <w:t xml:space="preserve">.  This further complicates the solution, but also provides more strategic opportunities for firms.  You will learn more about these and other games in subsequent strategy classes.  </w:t>
      </w:r>
    </w:p>
    <w:p w:rsidR="00EA2436" w:rsidRDefault="00EA2436">
      <w:pPr>
        <w:jc w:val="both"/>
      </w:pPr>
    </w:p>
    <w:p w:rsidR="00EA2436" w:rsidRDefault="00EA2436">
      <w:pPr>
        <w:numPr>
          <w:ilvl w:val="0"/>
          <w:numId w:val="17"/>
        </w:numPr>
        <w:jc w:val="both"/>
      </w:pPr>
      <w:r>
        <w:t>Because the outcome depends so critically on the details of how the game is played, it is vital for the firm to understand the players, actions, and payoffs as precisely as possible.  Otherwise, there is potential for error.</w:t>
      </w:r>
      <w:r w:rsidR="003A222E">
        <w:t xml:space="preserve">  See the article on the blog for an example of how firms might obtain useful information to process using the game theoretic analytical framework.</w:t>
      </w:r>
    </w:p>
    <w:p w:rsidR="00EA2436" w:rsidRDefault="00EA2436">
      <w:pPr>
        <w:jc w:val="both"/>
      </w:pPr>
    </w:p>
    <w:p w:rsidR="00EA2436" w:rsidRDefault="00EA2436">
      <w:pPr>
        <w:numPr>
          <w:ilvl w:val="0"/>
          <w:numId w:val="18"/>
        </w:numPr>
        <w:jc w:val="both"/>
      </w:pPr>
      <w:r>
        <w:t xml:space="preserve">Most game theory models make strong </w:t>
      </w:r>
      <w:r>
        <w:rPr>
          <w:b/>
        </w:rPr>
        <w:t>rationality</w:t>
      </w:r>
      <w:r>
        <w:t xml:space="preserve"> assumptions.  That is, we assume that other firms understand the game and are profit maximizing as well.  It may be unlikely that organizations behave rationally at every juncture.  However, it is possible to incorporate irrationality into advanced formulations of these games.</w:t>
      </w:r>
    </w:p>
    <w:p w:rsidR="00EA2436" w:rsidRDefault="00EA2436">
      <w:pPr>
        <w:jc w:val="both"/>
      </w:pPr>
    </w:p>
    <w:sectPr w:rsidR="00EA2436" w:rsidSect="00734953">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75C" w:rsidRDefault="0067775C">
      <w:r>
        <w:separator/>
      </w:r>
    </w:p>
  </w:endnote>
  <w:endnote w:type="continuationSeparator" w:id="1">
    <w:p w:rsidR="0067775C" w:rsidRDefault="006777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436" w:rsidRDefault="00734953">
    <w:pPr>
      <w:pStyle w:val="Footer"/>
      <w:framePr w:wrap="around" w:vAnchor="text" w:hAnchor="margin" w:xAlign="center" w:y="1"/>
      <w:rPr>
        <w:rStyle w:val="PageNumber"/>
      </w:rPr>
    </w:pPr>
    <w:r>
      <w:rPr>
        <w:rStyle w:val="PageNumber"/>
      </w:rPr>
      <w:fldChar w:fldCharType="begin"/>
    </w:r>
    <w:r w:rsidR="00EA2436">
      <w:rPr>
        <w:rStyle w:val="PageNumber"/>
      </w:rPr>
      <w:instrText xml:space="preserve">PAGE  </w:instrText>
    </w:r>
    <w:r>
      <w:rPr>
        <w:rStyle w:val="PageNumber"/>
      </w:rPr>
      <w:fldChar w:fldCharType="separate"/>
    </w:r>
    <w:r w:rsidR="00EA2436">
      <w:rPr>
        <w:rStyle w:val="PageNumber"/>
        <w:noProof/>
      </w:rPr>
      <w:t>2</w:t>
    </w:r>
    <w:r>
      <w:rPr>
        <w:rStyle w:val="PageNumber"/>
      </w:rPr>
      <w:fldChar w:fldCharType="end"/>
    </w:r>
  </w:p>
  <w:p w:rsidR="00EA2436" w:rsidRDefault="00EA24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436" w:rsidRDefault="00734953">
    <w:pPr>
      <w:pStyle w:val="Footer"/>
      <w:framePr w:wrap="around" w:vAnchor="text" w:hAnchor="margin" w:xAlign="center" w:y="1"/>
      <w:rPr>
        <w:rStyle w:val="PageNumber"/>
      </w:rPr>
    </w:pPr>
    <w:r>
      <w:rPr>
        <w:rStyle w:val="PageNumber"/>
      </w:rPr>
      <w:fldChar w:fldCharType="begin"/>
    </w:r>
    <w:r w:rsidR="00EA2436">
      <w:rPr>
        <w:rStyle w:val="PageNumber"/>
      </w:rPr>
      <w:instrText xml:space="preserve">PAGE  </w:instrText>
    </w:r>
    <w:r>
      <w:rPr>
        <w:rStyle w:val="PageNumber"/>
      </w:rPr>
      <w:fldChar w:fldCharType="separate"/>
    </w:r>
    <w:r w:rsidR="00F83506">
      <w:rPr>
        <w:rStyle w:val="PageNumber"/>
        <w:noProof/>
      </w:rPr>
      <w:t>1</w:t>
    </w:r>
    <w:r>
      <w:rPr>
        <w:rStyle w:val="PageNumber"/>
      </w:rPr>
      <w:fldChar w:fldCharType="end"/>
    </w:r>
  </w:p>
  <w:p w:rsidR="00EA2436" w:rsidRDefault="00EA243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506" w:rsidRDefault="00F835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75C" w:rsidRDefault="0067775C">
      <w:r>
        <w:separator/>
      </w:r>
    </w:p>
  </w:footnote>
  <w:footnote w:type="continuationSeparator" w:id="1">
    <w:p w:rsidR="0067775C" w:rsidRDefault="0067775C">
      <w:r>
        <w:continuationSeparator/>
      </w:r>
    </w:p>
  </w:footnote>
  <w:footnote w:id="2">
    <w:p w:rsidR="00EA2436" w:rsidRDefault="00EA2436">
      <w:pPr>
        <w:pStyle w:val="FootnoteText"/>
        <w:jc w:val="both"/>
      </w:pPr>
      <w:r>
        <w:rPr>
          <w:rStyle w:val="FootnoteReference"/>
        </w:rPr>
        <w:footnoteRef/>
      </w:r>
      <w:r>
        <w:t xml:space="preserve"> “Squeal, Squeal” is the </w:t>
      </w:r>
      <w:r>
        <w:rPr>
          <w:b/>
        </w:rPr>
        <w:t>Nash Equilibrium</w:t>
      </w:r>
      <w:r>
        <w:t xml:space="preserve"> of the game.  The Nash Equilibrium describes the combination of players' actions for which each player’s strategy is the best response to the predicted strategy of the other players.  In other words, there is no </w:t>
      </w:r>
      <w:r w:rsidR="00FE720A">
        <w:t xml:space="preserve">profitable </w:t>
      </w:r>
      <w:r>
        <w:t xml:space="preserve">unilateral </w:t>
      </w:r>
      <w:r w:rsidR="00FE720A">
        <w:t xml:space="preserve">deviation – no incentrive </w:t>
      </w:r>
      <w:r>
        <w:t>for either playe</w:t>
      </w:r>
      <w:r w:rsidR="00FE720A">
        <w:t>r to change his or her strategy (acting alone).</w:t>
      </w:r>
    </w:p>
    <w:p w:rsidR="00EA2436" w:rsidRDefault="00EA2436">
      <w:pPr>
        <w:pStyle w:val="FootnoteText"/>
        <w:jc w:val="both"/>
      </w:pPr>
    </w:p>
  </w:footnote>
  <w:footnote w:id="3">
    <w:p w:rsidR="00EA2436" w:rsidRDefault="00EA2436">
      <w:pPr>
        <w:pStyle w:val="FootnoteText"/>
      </w:pPr>
      <w:r>
        <w:rPr>
          <w:rStyle w:val="FootnoteReference"/>
        </w:rPr>
        <w:footnoteRef/>
      </w:r>
      <w:r>
        <w:t xml:space="preserve"> Note that if the airline pricing game is played </w:t>
      </w:r>
      <w:r>
        <w:rPr>
          <w:u w:val="single"/>
        </w:rPr>
        <w:t>repeatedly</w:t>
      </w:r>
      <w:r>
        <w:t>, the airlines have a much better chance to arrive at a "tacit collusion" (4,4) outcome.  Trust can be built up by players over time — particularly if the gain from a unilateral deviation (i.e., moving to a payoff of 5) is not that great.</w:t>
      </w:r>
    </w:p>
    <w:p w:rsidR="00EA2436" w:rsidRDefault="00EA2436">
      <w:pPr>
        <w:pStyle w:val="FootnoteText"/>
      </w:pPr>
    </w:p>
  </w:footnote>
  <w:footnote w:id="4">
    <w:p w:rsidR="00EA2436" w:rsidRDefault="00EA2436">
      <w:pPr>
        <w:pStyle w:val="FootnoteText"/>
        <w:jc w:val="both"/>
      </w:pPr>
      <w:r>
        <w:rPr>
          <w:rStyle w:val="FootnoteReference"/>
        </w:rPr>
        <w:footnoteRef/>
      </w:r>
      <w:r>
        <w:t xml:space="preserve"> Note that a firm’s payoff includes any benefit it gets from the misfortune of its rival.  So, the first firm is indifferent between payoffs of ($90, $90) and ($90, $45).</w:t>
      </w:r>
    </w:p>
    <w:p w:rsidR="00EA2436" w:rsidRDefault="00EA2436">
      <w:pPr>
        <w:pStyle w:val="FootnoteText"/>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506" w:rsidRDefault="00F835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EA2436">
      <w:tc>
        <w:tcPr>
          <w:tcW w:w="4788" w:type="dxa"/>
        </w:tcPr>
        <w:p w:rsidR="00EA2436" w:rsidRDefault="00ED348F">
          <w:pPr>
            <w:pStyle w:val="Header"/>
          </w:pPr>
          <w:r>
            <w:t>Management &amp; Strategy 431</w:t>
          </w:r>
        </w:p>
      </w:tc>
      <w:tc>
        <w:tcPr>
          <w:tcW w:w="4788" w:type="dxa"/>
        </w:tcPr>
        <w:p w:rsidR="00EA2436" w:rsidRDefault="00ED348F" w:rsidP="00F83506">
          <w:pPr>
            <w:pStyle w:val="Header"/>
            <w:jc w:val="right"/>
          </w:pPr>
          <w:r>
            <w:t>Fall 200</w:t>
          </w:r>
          <w:r w:rsidR="00F83506">
            <w:t>8</w:t>
          </w:r>
          <w:r>
            <w:t xml:space="preserve"> — Sections 62, 63 &amp; 64</w:t>
          </w:r>
        </w:p>
      </w:tc>
    </w:tr>
    <w:tr w:rsidR="00EA2436">
      <w:tc>
        <w:tcPr>
          <w:tcW w:w="4788" w:type="dxa"/>
        </w:tcPr>
        <w:p w:rsidR="00EA2436" w:rsidRDefault="00EA2436">
          <w:pPr>
            <w:pStyle w:val="Header"/>
          </w:pPr>
          <w:r>
            <w:t>Professor Mazzeo</w:t>
          </w:r>
        </w:p>
      </w:tc>
      <w:tc>
        <w:tcPr>
          <w:tcW w:w="4788" w:type="dxa"/>
        </w:tcPr>
        <w:p w:rsidR="00EA2436" w:rsidRDefault="00F32020">
          <w:pPr>
            <w:pStyle w:val="Header"/>
            <w:jc w:val="right"/>
          </w:pPr>
          <w:r>
            <w:t>Topic 2.1</w:t>
          </w:r>
          <w:r w:rsidR="00EA2436">
            <w:t>:  Lecture Summary</w:t>
          </w:r>
        </w:p>
      </w:tc>
    </w:tr>
  </w:tbl>
  <w:p w:rsidR="00EA2436" w:rsidRDefault="00EA243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506" w:rsidRDefault="00F835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4F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49D38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CE54E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4FE18CD"/>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nsid w:val="19835E03"/>
    <w:multiLevelType w:val="singleLevel"/>
    <w:tmpl w:val="04090013"/>
    <w:lvl w:ilvl="0">
      <w:start w:val="4"/>
      <w:numFmt w:val="upperRoman"/>
      <w:lvlText w:val="%1."/>
      <w:lvlJc w:val="left"/>
      <w:pPr>
        <w:tabs>
          <w:tab w:val="num" w:pos="720"/>
        </w:tabs>
        <w:ind w:left="720" w:hanging="720"/>
      </w:pPr>
      <w:rPr>
        <w:rFonts w:hint="default"/>
      </w:rPr>
    </w:lvl>
  </w:abstractNum>
  <w:abstractNum w:abstractNumId="5">
    <w:nsid w:val="21AA381B"/>
    <w:multiLevelType w:val="singleLevel"/>
    <w:tmpl w:val="04090015"/>
    <w:lvl w:ilvl="0">
      <w:start w:val="1"/>
      <w:numFmt w:val="upperLetter"/>
      <w:lvlText w:val="%1."/>
      <w:lvlJc w:val="left"/>
      <w:pPr>
        <w:tabs>
          <w:tab w:val="num" w:pos="360"/>
        </w:tabs>
        <w:ind w:left="360" w:hanging="360"/>
      </w:pPr>
      <w:rPr>
        <w:rFonts w:hint="default"/>
      </w:rPr>
    </w:lvl>
  </w:abstractNum>
  <w:abstractNum w:abstractNumId="6">
    <w:nsid w:val="26E67CE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2CA296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C6477FC"/>
    <w:multiLevelType w:val="singleLevel"/>
    <w:tmpl w:val="04090013"/>
    <w:lvl w:ilvl="0">
      <w:start w:val="1"/>
      <w:numFmt w:val="upperRoman"/>
      <w:lvlText w:val="%1."/>
      <w:lvlJc w:val="left"/>
      <w:pPr>
        <w:tabs>
          <w:tab w:val="num" w:pos="720"/>
        </w:tabs>
        <w:ind w:left="720" w:hanging="720"/>
      </w:pPr>
      <w:rPr>
        <w:rFonts w:hint="default"/>
      </w:rPr>
    </w:lvl>
  </w:abstractNum>
  <w:abstractNum w:abstractNumId="9">
    <w:nsid w:val="3D64577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46E654D"/>
    <w:multiLevelType w:val="singleLevel"/>
    <w:tmpl w:val="0409000F"/>
    <w:lvl w:ilvl="0">
      <w:numFmt w:val="decimal"/>
      <w:lvlText w:val="%1."/>
      <w:lvlJc w:val="left"/>
      <w:pPr>
        <w:tabs>
          <w:tab w:val="num" w:pos="360"/>
        </w:tabs>
        <w:ind w:left="360" w:hanging="360"/>
      </w:pPr>
      <w:rPr>
        <w:rFonts w:hint="default"/>
      </w:rPr>
    </w:lvl>
  </w:abstractNum>
  <w:abstractNum w:abstractNumId="11">
    <w:nsid w:val="4A706E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A5C4CAD"/>
    <w:multiLevelType w:val="singleLevel"/>
    <w:tmpl w:val="0409000F"/>
    <w:lvl w:ilvl="0">
      <w:numFmt w:val="decimal"/>
      <w:lvlText w:val="%1."/>
      <w:lvlJc w:val="left"/>
      <w:pPr>
        <w:tabs>
          <w:tab w:val="num" w:pos="360"/>
        </w:tabs>
        <w:ind w:left="360" w:hanging="360"/>
      </w:pPr>
      <w:rPr>
        <w:rFonts w:hint="default"/>
      </w:rPr>
    </w:lvl>
  </w:abstractNum>
  <w:abstractNum w:abstractNumId="13">
    <w:nsid w:val="5DEA23BA"/>
    <w:multiLevelType w:val="singleLevel"/>
    <w:tmpl w:val="04090013"/>
    <w:lvl w:ilvl="0">
      <w:start w:val="1"/>
      <w:numFmt w:val="upperRoman"/>
      <w:lvlText w:val="%1."/>
      <w:lvlJc w:val="left"/>
      <w:pPr>
        <w:tabs>
          <w:tab w:val="num" w:pos="720"/>
        </w:tabs>
        <w:ind w:left="720" w:hanging="720"/>
      </w:pPr>
      <w:rPr>
        <w:rFonts w:hint="default"/>
      </w:rPr>
    </w:lvl>
  </w:abstractNum>
  <w:abstractNum w:abstractNumId="14">
    <w:nsid w:val="5E506AF3"/>
    <w:multiLevelType w:val="singleLevel"/>
    <w:tmpl w:val="04090013"/>
    <w:lvl w:ilvl="0">
      <w:start w:val="1"/>
      <w:numFmt w:val="upperRoman"/>
      <w:lvlText w:val="%1."/>
      <w:lvlJc w:val="left"/>
      <w:pPr>
        <w:tabs>
          <w:tab w:val="num" w:pos="720"/>
        </w:tabs>
        <w:ind w:left="720" w:hanging="720"/>
      </w:pPr>
      <w:rPr>
        <w:rFonts w:hint="default"/>
      </w:rPr>
    </w:lvl>
  </w:abstractNum>
  <w:abstractNum w:abstractNumId="15">
    <w:nsid w:val="6A993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6AC60CE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6FA4266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3"/>
  </w:num>
  <w:num w:numId="3">
    <w:abstractNumId w:val="8"/>
  </w:num>
  <w:num w:numId="4">
    <w:abstractNumId w:val="10"/>
  </w:num>
  <w:num w:numId="5">
    <w:abstractNumId w:val="3"/>
  </w:num>
  <w:num w:numId="6">
    <w:abstractNumId w:val="5"/>
  </w:num>
  <w:num w:numId="7">
    <w:abstractNumId w:val="16"/>
  </w:num>
  <w:num w:numId="8">
    <w:abstractNumId w:val="14"/>
  </w:num>
  <w:num w:numId="9">
    <w:abstractNumId w:val="7"/>
  </w:num>
  <w:num w:numId="10">
    <w:abstractNumId w:val="11"/>
  </w:num>
  <w:num w:numId="11">
    <w:abstractNumId w:val="6"/>
  </w:num>
  <w:num w:numId="12">
    <w:abstractNumId w:val="9"/>
  </w:num>
  <w:num w:numId="13">
    <w:abstractNumId w:val="4"/>
  </w:num>
  <w:num w:numId="14">
    <w:abstractNumId w:val="17"/>
  </w:num>
  <w:num w:numId="15">
    <w:abstractNumId w:val="15"/>
  </w:num>
  <w:num w:numId="16">
    <w:abstractNumId w:val="2"/>
  </w:num>
  <w:num w:numId="17">
    <w:abstractNumId w:val="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76E6A"/>
    <w:rsid w:val="0001379A"/>
    <w:rsid w:val="00013DC1"/>
    <w:rsid w:val="00055EA3"/>
    <w:rsid w:val="00076E6A"/>
    <w:rsid w:val="0009438A"/>
    <w:rsid w:val="000F39CD"/>
    <w:rsid w:val="002871E4"/>
    <w:rsid w:val="002A66FF"/>
    <w:rsid w:val="00324ECB"/>
    <w:rsid w:val="003264FC"/>
    <w:rsid w:val="00362320"/>
    <w:rsid w:val="003A222E"/>
    <w:rsid w:val="005F44F4"/>
    <w:rsid w:val="0067775C"/>
    <w:rsid w:val="007172D1"/>
    <w:rsid w:val="00734953"/>
    <w:rsid w:val="007B28F3"/>
    <w:rsid w:val="00B449C7"/>
    <w:rsid w:val="00D460A6"/>
    <w:rsid w:val="00EA2436"/>
    <w:rsid w:val="00ED348F"/>
    <w:rsid w:val="00F32020"/>
    <w:rsid w:val="00F8265B"/>
    <w:rsid w:val="00F83506"/>
    <w:rsid w:val="00FE72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953"/>
  </w:style>
  <w:style w:type="paragraph" w:styleId="Heading1">
    <w:name w:val="heading 1"/>
    <w:basedOn w:val="Normal"/>
    <w:next w:val="Normal"/>
    <w:qFormat/>
    <w:rsid w:val="00734953"/>
    <w:pPr>
      <w:keepNext/>
      <w:outlineLvl w:val="0"/>
    </w:pPr>
    <w:rPr>
      <w:u w:val="single"/>
    </w:rPr>
  </w:style>
  <w:style w:type="paragraph" w:styleId="Heading2">
    <w:name w:val="heading 2"/>
    <w:basedOn w:val="Normal"/>
    <w:next w:val="Normal"/>
    <w:qFormat/>
    <w:rsid w:val="00734953"/>
    <w:pPr>
      <w:keepNext/>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34953"/>
    <w:pPr>
      <w:jc w:val="both"/>
    </w:pPr>
  </w:style>
  <w:style w:type="paragraph" w:styleId="Header">
    <w:name w:val="header"/>
    <w:basedOn w:val="Normal"/>
    <w:rsid w:val="00734953"/>
    <w:pPr>
      <w:tabs>
        <w:tab w:val="center" w:pos="4320"/>
        <w:tab w:val="right" w:pos="8640"/>
      </w:tabs>
    </w:pPr>
  </w:style>
  <w:style w:type="paragraph" w:styleId="Footer">
    <w:name w:val="footer"/>
    <w:basedOn w:val="Normal"/>
    <w:rsid w:val="00734953"/>
    <w:pPr>
      <w:tabs>
        <w:tab w:val="center" w:pos="4320"/>
        <w:tab w:val="right" w:pos="8640"/>
      </w:tabs>
    </w:pPr>
  </w:style>
  <w:style w:type="character" w:styleId="PageNumber">
    <w:name w:val="page number"/>
    <w:basedOn w:val="DefaultParagraphFont"/>
    <w:rsid w:val="00734953"/>
  </w:style>
  <w:style w:type="paragraph" w:styleId="BodyText2">
    <w:name w:val="Body Text 2"/>
    <w:basedOn w:val="Normal"/>
    <w:rsid w:val="00734953"/>
    <w:pPr>
      <w:jc w:val="center"/>
    </w:pPr>
    <w:rPr>
      <w:b/>
      <w:sz w:val="28"/>
    </w:rPr>
  </w:style>
  <w:style w:type="paragraph" w:styleId="FootnoteText">
    <w:name w:val="footnote text"/>
    <w:basedOn w:val="Normal"/>
    <w:semiHidden/>
    <w:rsid w:val="00734953"/>
  </w:style>
  <w:style w:type="character" w:styleId="FootnoteReference">
    <w:name w:val="footnote reference"/>
    <w:basedOn w:val="DefaultParagraphFont"/>
    <w:semiHidden/>
    <w:rsid w:val="0073495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Crown Cork and Seal — Case Discussion Preparation</vt:lpstr>
    </vt:vector>
  </TitlesOfParts>
  <Company>KGSM</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Cork and Seal — Case Discussion Preparation</dc:title>
  <dc:subject/>
  <dc:creator>mma317</dc:creator>
  <cp:keywords/>
  <cp:lastModifiedBy>mma317</cp:lastModifiedBy>
  <cp:revision>3</cp:revision>
  <cp:lastPrinted>2004-07-19T19:01:00Z</cp:lastPrinted>
  <dcterms:created xsi:type="dcterms:W3CDTF">2008-10-24T19:51:00Z</dcterms:created>
  <dcterms:modified xsi:type="dcterms:W3CDTF">2008-10-24T20:03:00Z</dcterms:modified>
</cp:coreProperties>
</file>