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3E6A" w:rsidRDefault="00023E6A">
      <w:pPr>
        <w:jc w:val="center"/>
        <w:rPr>
          <w:b/>
          <w:snapToGrid w:val="0"/>
          <w:sz w:val="24"/>
        </w:rPr>
      </w:pPr>
    </w:p>
    <w:p w:rsidR="00023E6A" w:rsidRDefault="00644ECF">
      <w:pPr>
        <w:jc w:val="center"/>
        <w:rPr>
          <w:b/>
          <w:snapToGrid w:val="0"/>
          <w:sz w:val="24"/>
        </w:rPr>
      </w:pPr>
      <w:r>
        <w:rPr>
          <w:b/>
          <w:snapToGrid w:val="0"/>
          <w:sz w:val="24"/>
        </w:rPr>
        <w:t>Sustainability</w:t>
      </w:r>
    </w:p>
    <w:p w:rsidR="00023E6A" w:rsidRDefault="00023E6A">
      <w:pPr>
        <w:jc w:val="both"/>
        <w:rPr>
          <w:b/>
          <w:snapToGrid w:val="0"/>
          <w:sz w:val="24"/>
        </w:rPr>
      </w:pPr>
    </w:p>
    <w:p w:rsidR="00023E6A" w:rsidRDefault="00644ECF">
      <w:pPr>
        <w:jc w:val="both"/>
        <w:rPr>
          <w:snapToGrid w:val="0"/>
        </w:rPr>
      </w:pPr>
      <w:r>
        <w:rPr>
          <w:snapToGrid w:val="0"/>
        </w:rPr>
        <w:t>The sustainability topics covers recognizes the fact that firm strategies need to explicitly account for future, as well as current period, profitability.  In particular, strategies are more likely to lead to a long-term competitive advantage for firms to the extent that the factor in potential future competition.  Some underlying economic fundamentals also promote sustainability, in the sense that value creation is enhanced by virtue of firms being present in the market for a longer period of time.  Finally, we can include investment and growth in this topic – considering option values as an important element for firms to consider in making these choices.</w:t>
      </w:r>
    </w:p>
    <w:p w:rsidR="00023E6A" w:rsidRPr="00EE6581" w:rsidRDefault="00023E6A">
      <w:pPr>
        <w:jc w:val="both"/>
        <w:rPr>
          <w:b/>
          <w:snapToGrid w:val="0"/>
        </w:rPr>
      </w:pPr>
    </w:p>
    <w:p w:rsidR="00023E6A" w:rsidRDefault="00644ECF" w:rsidP="00EE6581">
      <w:pPr>
        <w:numPr>
          <w:ilvl w:val="0"/>
          <w:numId w:val="16"/>
        </w:numPr>
        <w:jc w:val="both"/>
        <w:rPr>
          <w:snapToGrid w:val="0"/>
        </w:rPr>
      </w:pPr>
      <w:r w:rsidRPr="00EE6581">
        <w:rPr>
          <w:b/>
          <w:snapToGrid w:val="0"/>
        </w:rPr>
        <w:t>Protection of Resources and Capabilities – the “Market Tests”</w:t>
      </w:r>
    </w:p>
    <w:p w:rsidR="00644ECF" w:rsidRDefault="00644ECF" w:rsidP="00644ECF">
      <w:pPr>
        <w:jc w:val="both"/>
        <w:rPr>
          <w:snapToGrid w:val="0"/>
        </w:rPr>
      </w:pPr>
    </w:p>
    <w:p w:rsidR="00EE6581" w:rsidRDefault="00EE6581" w:rsidP="00A937EF">
      <w:pPr>
        <w:jc w:val="both"/>
        <w:rPr>
          <w:snapToGrid w:val="0"/>
        </w:rPr>
      </w:pPr>
      <w:r>
        <w:rPr>
          <w:snapToGrid w:val="0"/>
        </w:rPr>
        <w:t xml:space="preserve">One way that a firm can sustain a competitive advantage (as defined in the previous topic) is to make sure that the resources and capabilities that contribute to that competitive advantage are themselves protected and delivering their maximum return to the firm.  In that spirit, below are a set of conditions that must be met for a firm to maintain maximal profitability in the long run: </w:t>
      </w:r>
      <w:r>
        <w:rPr>
          <w:b/>
          <w:snapToGrid w:val="0"/>
        </w:rPr>
        <w:t>limits to resource competition</w:t>
      </w:r>
      <w:r>
        <w:rPr>
          <w:snapToGrid w:val="0"/>
        </w:rPr>
        <w:t xml:space="preserve">, </w:t>
      </w:r>
      <w:r>
        <w:rPr>
          <w:b/>
          <w:snapToGrid w:val="0"/>
        </w:rPr>
        <w:t xml:space="preserve">limits to resource acquisition competition, </w:t>
      </w:r>
      <w:r>
        <w:rPr>
          <w:snapToGrid w:val="0"/>
        </w:rPr>
        <w:t xml:space="preserve">and </w:t>
      </w:r>
      <w:r>
        <w:rPr>
          <w:b/>
          <w:snapToGrid w:val="0"/>
        </w:rPr>
        <w:t>resource immobility</w:t>
      </w:r>
      <w:r>
        <w:rPr>
          <w:snapToGrid w:val="0"/>
        </w:rPr>
        <w:t>. Each of these conditions is explained in detail below.</w:t>
      </w:r>
      <w:r w:rsidRPr="00C040ED">
        <w:rPr>
          <w:rStyle w:val="FootnoteReference"/>
          <w:snapToGrid w:val="0"/>
        </w:rPr>
        <w:t xml:space="preserve"> </w:t>
      </w:r>
    </w:p>
    <w:p w:rsidR="00EE6581" w:rsidRDefault="00EE6581" w:rsidP="00EE6581">
      <w:pPr>
        <w:jc w:val="both"/>
        <w:rPr>
          <w:b/>
          <w:snapToGrid w:val="0"/>
        </w:rPr>
      </w:pPr>
    </w:p>
    <w:p w:rsidR="00EE6581" w:rsidRDefault="00EE6581" w:rsidP="00A937EF">
      <w:pPr>
        <w:numPr>
          <w:ilvl w:val="0"/>
          <w:numId w:val="17"/>
        </w:numPr>
        <w:ind w:left="360"/>
        <w:jc w:val="both"/>
        <w:rPr>
          <w:b/>
          <w:snapToGrid w:val="0"/>
        </w:rPr>
      </w:pPr>
      <w:r>
        <w:rPr>
          <w:bCs/>
          <w:iCs/>
          <w:snapToGrid w:val="0"/>
        </w:rPr>
        <w:t xml:space="preserve"> </w:t>
      </w:r>
      <w:r>
        <w:rPr>
          <w:bCs/>
          <w:snapToGrid w:val="0"/>
          <w:u w:val="single"/>
        </w:rPr>
        <w:t>Limits to Resource Competition</w:t>
      </w:r>
      <w:r>
        <w:rPr>
          <w:b/>
          <w:snapToGrid w:val="0"/>
        </w:rPr>
        <w:t>:</w:t>
      </w:r>
    </w:p>
    <w:p w:rsidR="00EE6581" w:rsidRDefault="00EE6581" w:rsidP="00A937EF">
      <w:pPr>
        <w:jc w:val="both"/>
        <w:rPr>
          <w:snapToGrid w:val="0"/>
        </w:rPr>
      </w:pPr>
    </w:p>
    <w:p w:rsidR="00EE6581" w:rsidRDefault="00EE6581" w:rsidP="00A937EF">
      <w:pPr>
        <w:ind w:left="360"/>
        <w:jc w:val="both"/>
        <w:rPr>
          <w:snapToGrid w:val="0"/>
        </w:rPr>
      </w:pPr>
      <w:r>
        <w:rPr>
          <w:b/>
          <w:snapToGrid w:val="0"/>
        </w:rPr>
        <w:t>Limits to Resource Competition</w:t>
      </w:r>
      <w:r>
        <w:rPr>
          <w:snapToGrid w:val="0"/>
        </w:rPr>
        <w:t xml:space="preserve"> ensure that the competitive advantage associated with the resource is </w:t>
      </w:r>
      <w:r>
        <w:rPr>
          <w:snapToGrid w:val="0"/>
          <w:u w:val="single"/>
        </w:rPr>
        <w:t>preserved</w:t>
      </w:r>
      <w:r>
        <w:rPr>
          <w:snapToGrid w:val="0"/>
        </w:rPr>
        <w:t>. Subsequent to a firm gaining a superior position and earning profits, there must be factors in place that limit the competition for those profits. If another firm can obtain the same resources, there can be no competitive advantage. There are two important aspects of the limits to resource competition:</w:t>
      </w:r>
    </w:p>
    <w:p w:rsidR="00EE6581" w:rsidRDefault="00EE6581" w:rsidP="00A937EF">
      <w:pPr>
        <w:jc w:val="both"/>
        <w:rPr>
          <w:snapToGrid w:val="0"/>
        </w:rPr>
      </w:pPr>
    </w:p>
    <w:p w:rsidR="00EE6581" w:rsidRDefault="00EE6581" w:rsidP="00A937EF">
      <w:pPr>
        <w:numPr>
          <w:ilvl w:val="0"/>
          <w:numId w:val="18"/>
        </w:numPr>
        <w:tabs>
          <w:tab w:val="left" w:pos="450"/>
        </w:tabs>
        <w:ind w:left="720"/>
        <w:jc w:val="both"/>
        <w:rPr>
          <w:snapToGrid w:val="0"/>
          <w:u w:val="single"/>
        </w:rPr>
      </w:pPr>
      <w:r>
        <w:rPr>
          <w:snapToGrid w:val="0"/>
          <w:u w:val="single"/>
        </w:rPr>
        <w:t>Imperfect imitability</w:t>
      </w:r>
    </w:p>
    <w:p w:rsidR="00EE6581" w:rsidRDefault="00EE6581" w:rsidP="00A937EF">
      <w:pPr>
        <w:jc w:val="both"/>
        <w:rPr>
          <w:snapToGrid w:val="0"/>
          <w:u w:val="single"/>
        </w:rPr>
      </w:pPr>
    </w:p>
    <w:p w:rsidR="00EE6581" w:rsidRDefault="00EE6581" w:rsidP="00A937EF">
      <w:pPr>
        <w:ind w:left="360"/>
        <w:jc w:val="both"/>
        <w:rPr>
          <w:snapToGrid w:val="0"/>
        </w:rPr>
      </w:pPr>
      <w:r>
        <w:rPr>
          <w:b/>
          <w:snapToGrid w:val="0"/>
        </w:rPr>
        <w:t xml:space="preserve">Isolating mechanisms </w:t>
      </w:r>
      <w:r>
        <w:rPr>
          <w:snapToGrid w:val="0"/>
        </w:rPr>
        <w:t xml:space="preserve">are things that keep other firms from copying </w:t>
      </w:r>
      <w:r>
        <w:rPr>
          <w:snapToGrid w:val="0"/>
          <w:u w:val="single"/>
        </w:rPr>
        <w:t>the resources</w:t>
      </w:r>
      <w:r>
        <w:rPr>
          <w:snapToGrid w:val="0"/>
        </w:rPr>
        <w:t xml:space="preserve"> responsible for a firm’s superior profits. An isolating mechanism keeps firms from imitating either the production efficiencies or the characteristics of the end product (of the superior firm) that make it uniquely desirable to users. Some examples of isolating mechanisms include:</w:t>
      </w:r>
    </w:p>
    <w:p w:rsidR="00EE6581" w:rsidRDefault="00EE6581" w:rsidP="00A937EF">
      <w:pPr>
        <w:ind w:left="360"/>
        <w:jc w:val="both"/>
        <w:rPr>
          <w:snapToGrid w:val="0"/>
        </w:rPr>
      </w:pPr>
    </w:p>
    <w:p w:rsidR="00EE6581" w:rsidRDefault="00EE6581" w:rsidP="00A937EF">
      <w:pPr>
        <w:numPr>
          <w:ilvl w:val="0"/>
          <w:numId w:val="7"/>
        </w:numPr>
        <w:tabs>
          <w:tab w:val="clear" w:pos="360"/>
          <w:tab w:val="num" w:pos="720"/>
        </w:tabs>
        <w:ind w:left="720"/>
        <w:jc w:val="both"/>
        <w:rPr>
          <w:snapToGrid w:val="0"/>
        </w:rPr>
      </w:pPr>
      <w:r>
        <w:rPr>
          <w:b/>
          <w:snapToGrid w:val="0"/>
        </w:rPr>
        <w:t>Property rights:</w:t>
      </w:r>
      <w:r>
        <w:rPr>
          <w:snapToGrid w:val="0"/>
        </w:rPr>
        <w:t xml:space="preserve">  this location is low cost/customers like it and the superior firm owns it.</w:t>
      </w:r>
    </w:p>
    <w:p w:rsidR="00EE6581" w:rsidRDefault="00EE6581" w:rsidP="00A937EF">
      <w:pPr>
        <w:numPr>
          <w:ilvl w:val="0"/>
          <w:numId w:val="8"/>
        </w:numPr>
        <w:tabs>
          <w:tab w:val="clear" w:pos="360"/>
          <w:tab w:val="num" w:pos="720"/>
        </w:tabs>
        <w:ind w:left="720"/>
        <w:jc w:val="both"/>
        <w:rPr>
          <w:snapToGrid w:val="0"/>
        </w:rPr>
      </w:pPr>
      <w:r>
        <w:rPr>
          <w:b/>
          <w:snapToGrid w:val="0"/>
        </w:rPr>
        <w:t>Patent/Copyright</w:t>
      </w:r>
      <w:r>
        <w:rPr>
          <w:snapToGrid w:val="0"/>
        </w:rPr>
        <w:t>:  other firms cannot use the resource because they would face legal battles.</w:t>
      </w:r>
    </w:p>
    <w:p w:rsidR="00EE6581" w:rsidRDefault="00EE6581" w:rsidP="00A937EF">
      <w:pPr>
        <w:numPr>
          <w:ilvl w:val="0"/>
          <w:numId w:val="9"/>
        </w:numPr>
        <w:tabs>
          <w:tab w:val="num" w:pos="720"/>
        </w:tabs>
        <w:jc w:val="both"/>
        <w:rPr>
          <w:snapToGrid w:val="0"/>
        </w:rPr>
      </w:pPr>
      <w:r>
        <w:rPr>
          <w:b/>
          <w:snapToGrid w:val="0"/>
        </w:rPr>
        <w:t>Scale/Culture/Reputation</w:t>
      </w:r>
      <w:r>
        <w:rPr>
          <w:snapToGrid w:val="0"/>
        </w:rPr>
        <w:t>:  these resources may be easy to identify but hard to replicate, especially in the short term.</w:t>
      </w:r>
    </w:p>
    <w:p w:rsidR="00EE6581" w:rsidRDefault="00EE6581" w:rsidP="00A937EF">
      <w:pPr>
        <w:ind w:left="360"/>
        <w:jc w:val="both"/>
        <w:rPr>
          <w:snapToGrid w:val="0"/>
        </w:rPr>
      </w:pPr>
    </w:p>
    <w:p w:rsidR="00EE6581" w:rsidRDefault="00EE6581" w:rsidP="00A937EF">
      <w:pPr>
        <w:numPr>
          <w:ilvl w:val="0"/>
          <w:numId w:val="18"/>
        </w:numPr>
        <w:ind w:left="450" w:hanging="450"/>
        <w:jc w:val="both"/>
        <w:rPr>
          <w:snapToGrid w:val="0"/>
        </w:rPr>
      </w:pPr>
      <w:r>
        <w:rPr>
          <w:snapToGrid w:val="0"/>
          <w:u w:val="single"/>
        </w:rPr>
        <w:t>Imperfect Substitutability</w:t>
      </w:r>
      <w:r>
        <w:rPr>
          <w:snapToGrid w:val="0"/>
        </w:rPr>
        <w:t>:</w:t>
      </w:r>
    </w:p>
    <w:p w:rsidR="00EE6581" w:rsidRDefault="00EE6581" w:rsidP="00A937EF">
      <w:pPr>
        <w:jc w:val="both"/>
        <w:rPr>
          <w:snapToGrid w:val="0"/>
        </w:rPr>
      </w:pPr>
    </w:p>
    <w:p w:rsidR="00EE6581" w:rsidRDefault="00EE6581" w:rsidP="00A937EF">
      <w:pPr>
        <w:ind w:left="360"/>
        <w:jc w:val="both"/>
        <w:rPr>
          <w:snapToGrid w:val="0"/>
        </w:rPr>
      </w:pPr>
      <w:r>
        <w:rPr>
          <w:snapToGrid w:val="0"/>
        </w:rPr>
        <w:t xml:space="preserve">Resource substitutability refers to a situation where a firm possesses a different resource that delivers the same advantage.  The imitating firm is not copying a resource, </w:t>
      </w:r>
      <w:r>
        <w:rPr>
          <w:i/>
          <w:snapToGrid w:val="0"/>
        </w:rPr>
        <w:t>per se</w:t>
      </w:r>
      <w:r>
        <w:rPr>
          <w:snapToGrid w:val="0"/>
        </w:rPr>
        <w:t>, but it is getting the same result.  If there is some resource that allows a firm to achieve superior performance, there can be no other substitute resource that results in the same ultimate performance. For example, if another farmer developed a very low-cost fertilizer, there would be no competitive advantage afforded by an alternative resource like owning fertile land.</w:t>
      </w:r>
    </w:p>
    <w:p w:rsidR="00EE6581" w:rsidRDefault="00EE6581" w:rsidP="00A937EF">
      <w:pPr>
        <w:ind w:left="1080"/>
        <w:jc w:val="both"/>
        <w:rPr>
          <w:snapToGrid w:val="0"/>
        </w:rPr>
      </w:pPr>
    </w:p>
    <w:p w:rsidR="00EE6581" w:rsidRDefault="00EE6581" w:rsidP="00A937EF">
      <w:pPr>
        <w:numPr>
          <w:ilvl w:val="0"/>
          <w:numId w:val="17"/>
        </w:numPr>
        <w:ind w:left="360"/>
        <w:jc w:val="both"/>
        <w:rPr>
          <w:bCs/>
          <w:snapToGrid w:val="0"/>
        </w:rPr>
      </w:pPr>
      <w:r>
        <w:rPr>
          <w:bCs/>
          <w:iCs/>
          <w:snapToGrid w:val="0"/>
        </w:rPr>
        <w:t xml:space="preserve"> </w:t>
      </w:r>
      <w:r w:rsidRPr="00B86A6D">
        <w:rPr>
          <w:bCs/>
          <w:snapToGrid w:val="0"/>
          <w:u w:val="single"/>
        </w:rPr>
        <w:t>L</w:t>
      </w:r>
      <w:r>
        <w:rPr>
          <w:bCs/>
          <w:snapToGrid w:val="0"/>
          <w:u w:val="single"/>
        </w:rPr>
        <w:t xml:space="preserve">imits to Resource </w:t>
      </w:r>
      <w:r>
        <w:rPr>
          <w:bCs/>
          <w:i/>
          <w:snapToGrid w:val="0"/>
          <w:u w:val="single"/>
        </w:rPr>
        <w:t>A</w:t>
      </w:r>
      <w:r w:rsidRPr="00B86A6D">
        <w:rPr>
          <w:bCs/>
          <w:i/>
          <w:snapToGrid w:val="0"/>
          <w:u w:val="single"/>
        </w:rPr>
        <w:t>cquisition</w:t>
      </w:r>
      <w:r>
        <w:rPr>
          <w:bCs/>
          <w:snapToGrid w:val="0"/>
          <w:u w:val="single"/>
        </w:rPr>
        <w:t xml:space="preserve"> Competition</w:t>
      </w:r>
    </w:p>
    <w:p w:rsidR="00EE6581" w:rsidRDefault="00EE6581" w:rsidP="00A937EF">
      <w:pPr>
        <w:jc w:val="both"/>
        <w:rPr>
          <w:bCs/>
          <w:snapToGrid w:val="0"/>
        </w:rPr>
      </w:pPr>
    </w:p>
    <w:p w:rsidR="00EE6581" w:rsidRDefault="00EE6581" w:rsidP="00A937EF">
      <w:pPr>
        <w:ind w:left="360"/>
        <w:jc w:val="both"/>
        <w:rPr>
          <w:snapToGrid w:val="0"/>
        </w:rPr>
      </w:pPr>
      <w:r>
        <w:rPr>
          <w:snapToGrid w:val="0"/>
        </w:rPr>
        <w:t xml:space="preserve">An additional condition necessary for the firm to realize positive economic profit is that other firms cannot recognize the value that the resource creates up front. Consider the alternative:  if the value of the resource were common knowledge and there was no limit to the initial competition to acquire (or develop) the resource, competition to acquire the resource would drive up the price of acquiring it </w:t>
      </w:r>
      <w:r>
        <w:rPr>
          <w:snapToGrid w:val="0"/>
        </w:rPr>
        <w:lastRenderedPageBreak/>
        <w:t>initially — perhaps up to the point where the profits that the resource would ultimately generate are completely offset.</w:t>
      </w:r>
    </w:p>
    <w:p w:rsidR="00EE6581" w:rsidRDefault="00EE6581" w:rsidP="00A937EF">
      <w:pPr>
        <w:jc w:val="both"/>
        <w:rPr>
          <w:snapToGrid w:val="0"/>
        </w:rPr>
      </w:pPr>
    </w:p>
    <w:p w:rsidR="00EE6581" w:rsidRDefault="00EE6581" w:rsidP="00A937EF">
      <w:pPr>
        <w:ind w:left="360"/>
        <w:jc w:val="both"/>
        <w:rPr>
          <w:snapToGrid w:val="0"/>
        </w:rPr>
      </w:pPr>
      <w:r>
        <w:rPr>
          <w:snapToGrid w:val="0"/>
        </w:rPr>
        <w:t>For example, many wheat farmers may put in bids for land in a river valley, knowing the soil will be very fertile. The price eventually paid for this land might approach the profit described earlier. Alternatively, a farmer with a background in soil chemistry may be able to identify fertile areas that other farmers cannot. This superior knowledge represents a limit to resource acquisition competition — without many bidders the price of this fertile land remains low.</w:t>
      </w:r>
    </w:p>
    <w:p w:rsidR="00EE6581" w:rsidRDefault="00EE6581" w:rsidP="00A937EF">
      <w:pPr>
        <w:jc w:val="both"/>
        <w:rPr>
          <w:snapToGrid w:val="0"/>
        </w:rPr>
      </w:pPr>
    </w:p>
    <w:p w:rsidR="00EE6581" w:rsidRDefault="00EE6581" w:rsidP="00A937EF">
      <w:pPr>
        <w:numPr>
          <w:ilvl w:val="0"/>
          <w:numId w:val="17"/>
        </w:numPr>
        <w:ind w:left="360"/>
        <w:jc w:val="both"/>
        <w:rPr>
          <w:bCs/>
          <w:snapToGrid w:val="0"/>
        </w:rPr>
      </w:pPr>
      <w:r>
        <w:rPr>
          <w:bCs/>
          <w:snapToGrid w:val="0"/>
        </w:rPr>
        <w:t xml:space="preserve"> </w:t>
      </w:r>
      <w:r>
        <w:rPr>
          <w:bCs/>
          <w:snapToGrid w:val="0"/>
          <w:u w:val="single"/>
        </w:rPr>
        <w:t>Resource Immobility</w:t>
      </w:r>
    </w:p>
    <w:p w:rsidR="00EE6581" w:rsidRDefault="00EE6581" w:rsidP="00A937EF">
      <w:pPr>
        <w:jc w:val="both"/>
        <w:rPr>
          <w:b/>
          <w:snapToGrid w:val="0"/>
        </w:rPr>
      </w:pPr>
    </w:p>
    <w:p w:rsidR="00EE6581" w:rsidRDefault="00EE6581" w:rsidP="00A937EF">
      <w:pPr>
        <w:ind w:left="360"/>
        <w:jc w:val="both"/>
        <w:rPr>
          <w:snapToGrid w:val="0"/>
        </w:rPr>
      </w:pPr>
      <w:r>
        <w:rPr>
          <w:snapToGrid w:val="0"/>
        </w:rPr>
        <w:t xml:space="preserve">The third necessary condition for the firms to have a sustainable competitive advantage is </w:t>
      </w:r>
      <w:r>
        <w:rPr>
          <w:b/>
          <w:snapToGrid w:val="0"/>
        </w:rPr>
        <w:t>resource immobility</w:t>
      </w:r>
      <w:r>
        <w:rPr>
          <w:snapToGrid w:val="0"/>
        </w:rPr>
        <w:t>. Immobility generally requires that the superior resource cannot be profitably traded.  This is because there are reasons the resource wouldn’t be as productive in the hands of another firm. This may sound simple enough, but it is actually pretty subtle.</w:t>
      </w:r>
    </w:p>
    <w:p w:rsidR="00EE6581" w:rsidRDefault="00EE6581" w:rsidP="00A937EF">
      <w:pPr>
        <w:jc w:val="both"/>
        <w:rPr>
          <w:snapToGrid w:val="0"/>
        </w:rPr>
      </w:pPr>
    </w:p>
    <w:p w:rsidR="00EE6581" w:rsidRDefault="00EE6581" w:rsidP="00A937EF">
      <w:pPr>
        <w:ind w:left="360"/>
        <w:jc w:val="both"/>
        <w:rPr>
          <w:snapToGrid w:val="0"/>
        </w:rPr>
      </w:pPr>
      <w:r>
        <w:rPr>
          <w:snapToGrid w:val="0"/>
        </w:rPr>
        <w:t>Suppose Firm X has a CEO named Fred. Fred is such an amazing CEO that Firm X earns high profits.  At some point, Firm Y coaxes Fred into becoming its CEO, but he is unable to bring the same additional level of profits to Firm Y. Although Fred is an excellent general manager, he was better at managing the staff of Firm X and his style is not quite right at Firm Y. Furthermore, his original staff is firm specific — there is no chance Fred could coordinate a mass migration over to Firm Y (many of the workers have close ties to Firm X).</w:t>
      </w:r>
      <w:r>
        <w:rPr>
          <w:rStyle w:val="FootnoteReference"/>
          <w:snapToGrid w:val="0"/>
        </w:rPr>
        <w:footnoteReference w:id="2"/>
      </w:r>
    </w:p>
    <w:p w:rsidR="00EE6581" w:rsidRDefault="00EE6581" w:rsidP="00A937EF">
      <w:pPr>
        <w:jc w:val="both"/>
        <w:rPr>
          <w:snapToGrid w:val="0"/>
        </w:rPr>
      </w:pPr>
    </w:p>
    <w:p w:rsidR="00EE6581" w:rsidRDefault="00EE6581" w:rsidP="00A937EF">
      <w:pPr>
        <w:ind w:left="360"/>
        <w:jc w:val="both"/>
        <w:rPr>
          <w:snapToGrid w:val="0"/>
        </w:rPr>
      </w:pPr>
      <w:r>
        <w:rPr>
          <w:snapToGrid w:val="0"/>
        </w:rPr>
        <w:t xml:space="preserve">This is an example of </w:t>
      </w:r>
      <w:r>
        <w:rPr>
          <w:b/>
          <w:snapToGrid w:val="0"/>
        </w:rPr>
        <w:t>cospecialization</w:t>
      </w:r>
      <w:r>
        <w:rPr>
          <w:snapToGrid w:val="0"/>
        </w:rPr>
        <w:t>. Cospecialization occurs when a resource (Fred) must be used in conjunction with another, firm-specific resource (the original staff) in order to create the most economic value. When Fred is used in conjunction with the original staff, more economic value is created than when Fred is traded to any other staff. In other words, Fred is not mobile</w:t>
      </w:r>
      <w:r>
        <w:rPr>
          <w:b/>
          <w:snapToGrid w:val="0"/>
        </w:rPr>
        <w:t xml:space="preserve"> </w:t>
      </w:r>
      <w:r>
        <w:rPr>
          <w:snapToGrid w:val="0"/>
        </w:rPr>
        <w:t>(even though he could go to another firm, literally, no other firm would want him as much and the trade wouldn’t take place).</w:t>
      </w:r>
    </w:p>
    <w:p w:rsidR="00EE6581" w:rsidRDefault="00EE6581" w:rsidP="00A937EF">
      <w:pPr>
        <w:jc w:val="both"/>
        <w:rPr>
          <w:snapToGrid w:val="0"/>
        </w:rPr>
      </w:pPr>
    </w:p>
    <w:p w:rsidR="00EE6581" w:rsidRPr="00637595" w:rsidRDefault="00EE6581" w:rsidP="00A937EF">
      <w:pPr>
        <w:tabs>
          <w:tab w:val="num" w:pos="1080"/>
        </w:tabs>
        <w:ind w:left="360"/>
        <w:jc w:val="both"/>
        <w:rPr>
          <w:b/>
          <w:snapToGrid w:val="0"/>
        </w:rPr>
      </w:pPr>
      <w:r>
        <w:rPr>
          <w:snapToGrid w:val="0"/>
        </w:rPr>
        <w:t xml:space="preserve">Immobile resources, like Fred, are worth more to the firm for whom they create the most economic value than they are to the next highest valuing user. Since Fred created more value at Firm X than he did at Firm Y, he is worth more to Firm X. The difference between the economic value that Fred creates for Firm X and the amount the second highest bidder is willing to pay for Fred determines what the firm needs to pay Fred (lowering its costs the further away his second best option is. </w:t>
      </w:r>
    </w:p>
    <w:p w:rsidR="00EE6581" w:rsidRDefault="00EE6581" w:rsidP="00A937EF">
      <w:pPr>
        <w:jc w:val="both"/>
        <w:rPr>
          <w:snapToGrid w:val="0"/>
        </w:rPr>
      </w:pPr>
    </w:p>
    <w:p w:rsidR="00EE6581" w:rsidRDefault="00EE6581" w:rsidP="00A937EF">
      <w:pPr>
        <w:tabs>
          <w:tab w:val="num" w:pos="1080"/>
        </w:tabs>
        <w:ind w:left="360"/>
        <w:jc w:val="both"/>
        <w:rPr>
          <w:b/>
          <w:snapToGrid w:val="0"/>
        </w:rPr>
      </w:pPr>
      <w:r>
        <w:rPr>
          <w:snapToGrid w:val="0"/>
        </w:rPr>
        <w:t xml:space="preserve">In cases where resources are </w:t>
      </w:r>
      <w:r>
        <w:rPr>
          <w:snapToGrid w:val="0"/>
          <w:u w:val="single"/>
        </w:rPr>
        <w:t>not</w:t>
      </w:r>
      <w:r>
        <w:rPr>
          <w:snapToGrid w:val="0"/>
        </w:rPr>
        <w:t xml:space="preserve"> cospecialized, a firm can benefit its shareholders by trading the asset (even if it is a profitable asset).  Presumably another more cospecialized firm would be willing to bid more to acquire the asset, and the net profit from the trade would be contribute positively to the value of the firm.</w:t>
      </w:r>
    </w:p>
    <w:p w:rsidR="00644ECF" w:rsidRDefault="00644ECF" w:rsidP="00644ECF">
      <w:pPr>
        <w:jc w:val="both"/>
        <w:rPr>
          <w:snapToGrid w:val="0"/>
        </w:rPr>
      </w:pPr>
    </w:p>
    <w:p w:rsidR="00023E6A" w:rsidRPr="00A937EF" w:rsidRDefault="00023E6A" w:rsidP="00EE6581">
      <w:pPr>
        <w:jc w:val="both"/>
        <w:rPr>
          <w:b/>
          <w:snapToGrid w:val="0"/>
        </w:rPr>
      </w:pPr>
    </w:p>
    <w:p w:rsidR="00EE6581" w:rsidRPr="00A937EF" w:rsidRDefault="0090758B" w:rsidP="00EE6581">
      <w:pPr>
        <w:numPr>
          <w:ilvl w:val="0"/>
          <w:numId w:val="16"/>
        </w:numPr>
        <w:jc w:val="both"/>
        <w:rPr>
          <w:b/>
          <w:snapToGrid w:val="0"/>
        </w:rPr>
      </w:pPr>
      <w:r w:rsidRPr="00A937EF">
        <w:rPr>
          <w:b/>
          <w:snapToGrid w:val="0"/>
        </w:rPr>
        <w:t xml:space="preserve"> Value Creation Enhanced by Economic Fundamentals</w:t>
      </w:r>
    </w:p>
    <w:p w:rsidR="00EE6581" w:rsidRDefault="00EE6581" w:rsidP="00EE6581">
      <w:pPr>
        <w:jc w:val="both"/>
        <w:rPr>
          <w:snapToGrid w:val="0"/>
        </w:rPr>
      </w:pPr>
    </w:p>
    <w:p w:rsidR="00023E6A" w:rsidRDefault="00023E6A" w:rsidP="00A937EF">
      <w:pPr>
        <w:jc w:val="both"/>
        <w:rPr>
          <w:snapToGrid w:val="0"/>
        </w:rPr>
      </w:pPr>
      <w:r>
        <w:rPr>
          <w:snapToGrid w:val="0"/>
        </w:rPr>
        <w:t xml:space="preserve">To identify where this advantage </w:t>
      </w:r>
      <w:r w:rsidR="0090758B">
        <w:rPr>
          <w:snapToGrid w:val="0"/>
        </w:rPr>
        <w:t>circumstances in which established firms can extend sustainable competitive advantage more easily though market experience</w:t>
      </w:r>
      <w:r>
        <w:rPr>
          <w:snapToGrid w:val="0"/>
        </w:rPr>
        <w:t xml:space="preserve">, we can turn to the Value Creation Framework — </w:t>
      </w:r>
      <w:r w:rsidR="00B538F6">
        <w:rPr>
          <w:snapToGrid w:val="0"/>
        </w:rPr>
        <w:t>greater operation</w:t>
      </w:r>
      <w:r>
        <w:rPr>
          <w:snapToGrid w:val="0"/>
        </w:rPr>
        <w:t xml:space="preserve"> in the past either lowers their C or raises B for their consumers. </w:t>
      </w:r>
      <w:r w:rsidR="00E57B07">
        <w:rPr>
          <w:snapToGrid w:val="0"/>
        </w:rPr>
        <w:t>We want to be very certain that the economics behind an early-mover advantage is solid; particularly, if a firm is tempted to subsidize early-period quantity (i.e., produce at a suboptimal quantity in the first period from the perspective of profit-maximization) in the hopes of greater future profits.  So, w</w:t>
      </w:r>
      <w:r>
        <w:rPr>
          <w:snapToGrid w:val="0"/>
        </w:rPr>
        <w:t xml:space="preserve">ith this in mind, the following describes some </w:t>
      </w:r>
      <w:r w:rsidR="00E57B07">
        <w:rPr>
          <w:snapToGrid w:val="0"/>
        </w:rPr>
        <w:t>potential economic foundations of</w:t>
      </w:r>
      <w:r>
        <w:rPr>
          <w:snapToGrid w:val="0"/>
        </w:rPr>
        <w:t xml:space="preserve"> early-mover advantages:</w:t>
      </w:r>
    </w:p>
    <w:p w:rsidR="00023E6A" w:rsidRDefault="00023E6A">
      <w:pPr>
        <w:jc w:val="both"/>
        <w:rPr>
          <w:b/>
          <w:snapToGrid w:val="0"/>
        </w:rPr>
      </w:pPr>
    </w:p>
    <w:p w:rsidR="00023E6A" w:rsidRDefault="00A937EF" w:rsidP="00A937EF">
      <w:pPr>
        <w:numPr>
          <w:ilvl w:val="0"/>
          <w:numId w:val="19"/>
        </w:numPr>
        <w:ind w:left="360"/>
        <w:jc w:val="both"/>
        <w:rPr>
          <w:b/>
          <w:snapToGrid w:val="0"/>
        </w:rPr>
      </w:pPr>
      <w:r>
        <w:rPr>
          <w:b/>
          <w:snapToGrid w:val="0"/>
        </w:rPr>
        <w:br w:type="page"/>
      </w:r>
      <w:r w:rsidR="00023E6A">
        <w:rPr>
          <w:b/>
          <w:snapToGrid w:val="0"/>
        </w:rPr>
        <w:lastRenderedPageBreak/>
        <w:t>Learning Curve</w:t>
      </w:r>
    </w:p>
    <w:p w:rsidR="00023E6A" w:rsidRDefault="00023E6A" w:rsidP="00A937EF">
      <w:pPr>
        <w:jc w:val="both"/>
        <w:rPr>
          <w:b/>
          <w:snapToGrid w:val="0"/>
        </w:rPr>
      </w:pPr>
    </w:p>
    <w:p w:rsidR="00023E6A" w:rsidRDefault="00023E6A" w:rsidP="00A937EF">
      <w:pPr>
        <w:jc w:val="both"/>
        <w:rPr>
          <w:b/>
          <w:snapToGrid w:val="0"/>
        </w:rPr>
      </w:pPr>
      <w:r>
        <w:rPr>
          <w:snapToGrid w:val="0"/>
        </w:rPr>
        <w:t xml:space="preserve">The learning curve describes any situation in which </w:t>
      </w:r>
      <w:r>
        <w:rPr>
          <w:b/>
          <w:snapToGrid w:val="0"/>
        </w:rPr>
        <w:t xml:space="preserve">cumulative </w:t>
      </w:r>
      <w:r>
        <w:rPr>
          <w:snapToGrid w:val="0"/>
        </w:rPr>
        <w:t>experience in producing a product lowers a firm's average variable cost. Note the distinction between the learning curve and economies-of-scale — an experienced firm (with learning curve economie</w:t>
      </w:r>
      <w:r w:rsidR="00FF2972">
        <w:rPr>
          <w:snapToGrid w:val="0"/>
        </w:rPr>
        <w:t>s) would have lower costs at a</w:t>
      </w:r>
      <w:r w:rsidR="00B538F6">
        <w:rPr>
          <w:snapToGrid w:val="0"/>
        </w:rPr>
        <w:t>ny</w:t>
      </w:r>
      <w:r w:rsidR="00FF2972">
        <w:rPr>
          <w:snapToGrid w:val="0"/>
        </w:rPr>
        <w:t xml:space="preserve"> particular</w:t>
      </w:r>
      <w:r>
        <w:rPr>
          <w:snapToGrid w:val="0"/>
        </w:rPr>
        <w:t xml:space="preserve"> scale of production. It may be an advantage for learning curve firms to underbid rivals for business </w:t>
      </w:r>
      <w:r w:rsidR="00B538F6">
        <w:rPr>
          <w:snapToGrid w:val="0"/>
        </w:rPr>
        <w:t xml:space="preserve">or subsidize consumption </w:t>
      </w:r>
      <w:r>
        <w:rPr>
          <w:snapToGrid w:val="0"/>
        </w:rPr>
        <w:t>at first, in order to build up their cumulative experience.  Also note that, just as with scale, there are likely diminishing (or potentially even negative) additional cost savings at very high levels of cumulative experience.</w:t>
      </w:r>
      <w:r w:rsidR="00B538F6">
        <w:rPr>
          <w:snapToGrid w:val="0"/>
        </w:rPr>
        <w:t xml:space="preserve">  In addition, depending on the production technology, some firms may have flat or even upward sloping learning curves.</w:t>
      </w:r>
      <w:r w:rsidR="00E57B07">
        <w:rPr>
          <w:snapToGrid w:val="0"/>
        </w:rPr>
        <w:t xml:space="preserve">  It is vital to diagnose the potential strength of learning curve advantages for on a firm-by-firm basis, based on each firm’s individual situation/production technology.</w:t>
      </w:r>
    </w:p>
    <w:p w:rsidR="00023E6A" w:rsidRDefault="00023E6A" w:rsidP="00A937EF">
      <w:pPr>
        <w:jc w:val="both"/>
        <w:rPr>
          <w:b/>
          <w:snapToGrid w:val="0"/>
        </w:rPr>
      </w:pPr>
    </w:p>
    <w:p w:rsidR="00023E6A" w:rsidRDefault="00023E6A" w:rsidP="00A937EF">
      <w:pPr>
        <w:numPr>
          <w:ilvl w:val="0"/>
          <w:numId w:val="19"/>
        </w:numPr>
        <w:ind w:left="360"/>
        <w:jc w:val="both"/>
        <w:rPr>
          <w:b/>
          <w:snapToGrid w:val="0"/>
        </w:rPr>
      </w:pPr>
      <w:r>
        <w:rPr>
          <w:b/>
          <w:snapToGrid w:val="0"/>
        </w:rPr>
        <w:t>Network Externalities</w:t>
      </w:r>
    </w:p>
    <w:p w:rsidR="00023E6A" w:rsidRDefault="00023E6A" w:rsidP="00A937EF">
      <w:pPr>
        <w:jc w:val="both"/>
        <w:rPr>
          <w:snapToGrid w:val="0"/>
        </w:rPr>
      </w:pPr>
    </w:p>
    <w:p w:rsidR="00023E6A" w:rsidRDefault="00023E6A" w:rsidP="00A937EF">
      <w:pPr>
        <w:jc w:val="both"/>
        <w:rPr>
          <w:snapToGrid w:val="0"/>
        </w:rPr>
      </w:pPr>
      <w:r>
        <w:rPr>
          <w:snapToGrid w:val="0"/>
        </w:rPr>
        <w:t xml:space="preserve">For some products, </w:t>
      </w:r>
      <w:r w:rsidR="00FB7E64">
        <w:rPr>
          <w:snapToGrid w:val="0"/>
        </w:rPr>
        <w:t xml:space="preserve">a </w:t>
      </w:r>
      <w:r>
        <w:rPr>
          <w:snapToGrid w:val="0"/>
        </w:rPr>
        <w:t xml:space="preserve">consumer's B is partially determined by the total number of </w:t>
      </w:r>
      <w:r w:rsidR="00FB7E64">
        <w:rPr>
          <w:snapToGrid w:val="0"/>
        </w:rPr>
        <w:t xml:space="preserve">(other) </w:t>
      </w:r>
      <w:r>
        <w:rPr>
          <w:snapToGrid w:val="0"/>
        </w:rPr>
        <w:t xml:space="preserve">consumers that use the product. The idea is that when a "network" of users </w:t>
      </w:r>
      <w:r w:rsidR="00080F67">
        <w:rPr>
          <w:snapToGrid w:val="0"/>
        </w:rPr>
        <w:t>exists</w:t>
      </w:r>
      <w:r>
        <w:rPr>
          <w:snapToGrid w:val="0"/>
        </w:rPr>
        <w:t>, there is an "external" benefit to additional consumers. So, firms can gain an advantage by building up sales in early periods and developing a large "installed base" of users.</w:t>
      </w:r>
      <w:r w:rsidR="00FB7E64">
        <w:rPr>
          <w:snapToGrid w:val="0"/>
        </w:rPr>
        <w:t xml:space="preserve">  The installed base refers to all those who have purchased the product in previous periods and are currently using them.</w:t>
      </w:r>
    </w:p>
    <w:p w:rsidR="00023E6A" w:rsidRDefault="00023E6A" w:rsidP="00A937EF">
      <w:pPr>
        <w:rPr>
          <w:snapToGrid w:val="0"/>
          <w:sz w:val="24"/>
        </w:rPr>
      </w:pPr>
    </w:p>
    <w:p w:rsidR="00023E6A" w:rsidRDefault="00023E6A" w:rsidP="00A937EF">
      <w:pPr>
        <w:jc w:val="both"/>
        <w:rPr>
          <w:snapToGrid w:val="0"/>
        </w:rPr>
      </w:pPr>
      <w:r>
        <w:rPr>
          <w:snapToGrid w:val="0"/>
        </w:rPr>
        <w:t>The idea of network externalities can be captured graphically using the "S-curve." The diagonal line represents what might be considered a "standard" market with stable market share and no network externalities. Sales to new customers are roughly proportional to the installed base. When network externalities are present, this relationship takes on an "S" shape. At very low levels of installed base, the share of new sales is even lower. When the share of the installed base is high, however, an even greater share of new consumers will purchase the product.  Over time, firms with a larger market share will gradually become bigger and the share of the smaller firms will dwindle.</w:t>
      </w:r>
    </w:p>
    <w:p w:rsidR="00023E6A" w:rsidRDefault="00023E6A" w:rsidP="00A937EF">
      <w:pPr>
        <w:jc w:val="both"/>
        <w:rPr>
          <w:b/>
          <w:snapToGrid w:val="0"/>
        </w:rPr>
      </w:pPr>
    </w:p>
    <w:p w:rsidR="00023E6A" w:rsidRDefault="00241725" w:rsidP="00A937EF">
      <w:pPr>
        <w:jc w:val="both"/>
        <w:rPr>
          <w:b/>
          <w:snapToGrid w:val="0"/>
        </w:rPr>
      </w:pPr>
      <w:r>
        <w:rPr>
          <w:b/>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52.8pt;margin-top:16.55pt;width:357pt;height:217.5pt;z-index:1" o:allowincell="f">
            <v:imagedata r:id="rId7" o:title=""/>
            <w10:wrap type="topAndBottom"/>
          </v:shape>
          <o:OLEObject Type="Embed" ProgID="Excel.Sheet.8" ShapeID="_x0000_s1028" DrawAspect="Content" ObjectID="_1285752947" r:id="rId8"/>
        </w:pict>
      </w:r>
    </w:p>
    <w:p w:rsidR="00023E6A" w:rsidRDefault="00023E6A" w:rsidP="00A937EF">
      <w:pPr>
        <w:jc w:val="both"/>
        <w:rPr>
          <w:b/>
          <w:snapToGrid w:val="0"/>
        </w:rPr>
      </w:pPr>
    </w:p>
    <w:p w:rsidR="00023E6A" w:rsidRDefault="00023E6A" w:rsidP="00A937EF">
      <w:pPr>
        <w:jc w:val="both"/>
        <w:rPr>
          <w:b/>
          <w:snapToGrid w:val="0"/>
        </w:rPr>
      </w:pPr>
    </w:p>
    <w:p w:rsidR="00023E6A" w:rsidRDefault="00023E6A" w:rsidP="00A937EF">
      <w:pPr>
        <w:numPr>
          <w:ilvl w:val="0"/>
          <w:numId w:val="19"/>
        </w:numPr>
        <w:ind w:left="360"/>
        <w:jc w:val="both"/>
        <w:rPr>
          <w:b/>
          <w:snapToGrid w:val="0"/>
        </w:rPr>
      </w:pPr>
      <w:r>
        <w:rPr>
          <w:b/>
          <w:snapToGrid w:val="0"/>
        </w:rPr>
        <w:t xml:space="preserve">Buyer Uncertainty and Reputation </w:t>
      </w:r>
    </w:p>
    <w:p w:rsidR="00023E6A" w:rsidRDefault="00023E6A" w:rsidP="00A937EF">
      <w:pPr>
        <w:jc w:val="both"/>
        <w:rPr>
          <w:b/>
          <w:snapToGrid w:val="0"/>
        </w:rPr>
      </w:pPr>
      <w:r>
        <w:rPr>
          <w:b/>
          <w:snapToGrid w:val="0"/>
        </w:rPr>
        <w:t xml:space="preserve"> </w:t>
      </w:r>
    </w:p>
    <w:p w:rsidR="00023E6A" w:rsidRDefault="00023E6A" w:rsidP="00A937EF">
      <w:pPr>
        <w:jc w:val="both"/>
        <w:rPr>
          <w:snapToGrid w:val="0"/>
        </w:rPr>
      </w:pPr>
      <w:r>
        <w:rPr>
          <w:snapToGrid w:val="0"/>
        </w:rPr>
        <w:t xml:space="preserve">Goods for which quality is an issue can be place into two categories. </w:t>
      </w:r>
      <w:r>
        <w:rPr>
          <w:b/>
          <w:snapToGrid w:val="0"/>
        </w:rPr>
        <w:t xml:space="preserve">Search goods </w:t>
      </w:r>
      <w:r>
        <w:rPr>
          <w:snapToGrid w:val="0"/>
        </w:rPr>
        <w:t xml:space="preserve">are ones for which buyers can assess quality </w:t>
      </w:r>
      <w:r>
        <w:rPr>
          <w:i/>
          <w:snapToGrid w:val="0"/>
        </w:rPr>
        <w:t>at the time of purchase</w:t>
      </w:r>
      <w:r>
        <w:rPr>
          <w:snapToGrid w:val="0"/>
        </w:rPr>
        <w:t xml:space="preserve">, while for </w:t>
      </w:r>
      <w:r>
        <w:rPr>
          <w:b/>
          <w:snapToGrid w:val="0"/>
        </w:rPr>
        <w:t>experience goods</w:t>
      </w:r>
      <w:r>
        <w:rPr>
          <w:snapToGrid w:val="0"/>
        </w:rPr>
        <w:t xml:space="preserve">, quality can only be assessed </w:t>
      </w:r>
      <w:r>
        <w:rPr>
          <w:snapToGrid w:val="0"/>
        </w:rPr>
        <w:lastRenderedPageBreak/>
        <w:t xml:space="preserve">by </w:t>
      </w:r>
      <w:r>
        <w:rPr>
          <w:i/>
          <w:snapToGrid w:val="0"/>
        </w:rPr>
        <w:t>buying and consuming the product</w:t>
      </w:r>
      <w:r>
        <w:rPr>
          <w:snapToGrid w:val="0"/>
        </w:rPr>
        <w:t>.</w:t>
      </w:r>
      <w:r w:rsidR="00080F67">
        <w:rPr>
          <w:rStyle w:val="FootnoteReference"/>
          <w:snapToGrid w:val="0"/>
        </w:rPr>
        <w:footnoteReference w:id="3"/>
      </w:r>
      <w:r>
        <w:rPr>
          <w:snapToGrid w:val="0"/>
        </w:rPr>
        <w:t xml:space="preserve"> If buyers are uncertain about a product’s quality, firms that have built up a good reputation among experienced users will have a distinct advantage. For an established product — one that consumers have tried and liked — B increases a great deal relative to newer products. </w:t>
      </w:r>
      <w:r w:rsidR="00080F67">
        <w:rPr>
          <w:snapToGrid w:val="0"/>
        </w:rPr>
        <w:t xml:space="preserve">This can be true even if a consumer doesn’t personally know anyone who has purchased the product.  Just that they have remained in business over a period of time suggests that consumers (enough to make the firm profitable) have been reasonably satisfied with quality. </w:t>
      </w:r>
      <w:r>
        <w:rPr>
          <w:snapToGrid w:val="0"/>
        </w:rPr>
        <w:t>Competitors would have to offer much lower prices in order to compensate for the higher B of the established products.</w:t>
      </w:r>
      <w:r w:rsidR="00B538F6">
        <w:rPr>
          <w:snapToGrid w:val="0"/>
        </w:rPr>
        <w:t xml:space="preserve">  For the same reasons, brand is likely to be more valuable for firms selling products that are experience goods.</w:t>
      </w:r>
    </w:p>
    <w:p w:rsidR="00023E6A" w:rsidRDefault="00023E6A" w:rsidP="00A937EF">
      <w:pPr>
        <w:jc w:val="both"/>
        <w:rPr>
          <w:snapToGrid w:val="0"/>
        </w:rPr>
      </w:pPr>
    </w:p>
    <w:p w:rsidR="0090758B" w:rsidRPr="00A937EF" w:rsidRDefault="0090758B">
      <w:pPr>
        <w:ind w:left="360"/>
        <w:jc w:val="both"/>
        <w:rPr>
          <w:b/>
          <w:snapToGrid w:val="0"/>
        </w:rPr>
      </w:pPr>
    </w:p>
    <w:p w:rsidR="0090758B" w:rsidRPr="00A937EF" w:rsidRDefault="0090758B" w:rsidP="0090758B">
      <w:pPr>
        <w:numPr>
          <w:ilvl w:val="0"/>
          <w:numId w:val="16"/>
        </w:numPr>
        <w:jc w:val="both"/>
        <w:rPr>
          <w:b/>
          <w:snapToGrid w:val="0"/>
        </w:rPr>
      </w:pPr>
      <w:r w:rsidRPr="00A937EF">
        <w:rPr>
          <w:b/>
          <w:snapToGrid w:val="0"/>
        </w:rPr>
        <w:t xml:space="preserve">Investment and Growth – Options Approach </w:t>
      </w:r>
    </w:p>
    <w:p w:rsidR="00A937EF" w:rsidRDefault="00A937EF" w:rsidP="00A937EF">
      <w:pPr>
        <w:ind w:left="360"/>
        <w:jc w:val="both"/>
        <w:rPr>
          <w:snapToGrid w:val="0"/>
        </w:rPr>
      </w:pPr>
    </w:p>
    <w:p w:rsidR="00A937EF" w:rsidRDefault="00A937EF" w:rsidP="00A937EF">
      <w:pPr>
        <w:jc w:val="both"/>
        <w:rPr>
          <w:rFonts w:ascii="Times-Roman" w:hAnsi="Times-Roman"/>
          <w:snapToGrid w:val="0"/>
        </w:rPr>
      </w:pPr>
      <w:r>
        <w:rPr>
          <w:rFonts w:ascii="Times-Roman" w:hAnsi="Times-Roman"/>
          <w:snapToGrid w:val="0"/>
        </w:rPr>
        <w:t>Investment decisions are a vitally important part of business strategy for almost any firm. By their nature, many investment decisions are very costly, risky, and difficult to change — they can often "make or break" firms. An investment can affect both a firm's productivity and the characteristics of its product. Firms must also monitor the investments of their competitors, as not investing when others do may put a firm at a competitive disadvantage.</w:t>
      </w:r>
    </w:p>
    <w:p w:rsidR="00A937EF" w:rsidRDefault="00A937EF" w:rsidP="00A937EF">
      <w:pPr>
        <w:jc w:val="both"/>
        <w:rPr>
          <w:rFonts w:ascii="Times-Roman" w:hAnsi="Times-Roman"/>
          <w:snapToGrid w:val="0"/>
        </w:rPr>
      </w:pPr>
    </w:p>
    <w:p w:rsidR="00A937EF" w:rsidRDefault="00A937EF" w:rsidP="00A937EF">
      <w:pPr>
        <w:numPr>
          <w:ilvl w:val="0"/>
          <w:numId w:val="31"/>
        </w:numPr>
        <w:jc w:val="both"/>
        <w:rPr>
          <w:rFonts w:ascii="Times-Roman" w:hAnsi="Times-Roman"/>
          <w:b/>
          <w:snapToGrid w:val="0"/>
        </w:rPr>
      </w:pPr>
      <w:r>
        <w:rPr>
          <w:rFonts w:ascii="Times-Roman" w:hAnsi="Times-Roman"/>
          <w:b/>
          <w:snapToGrid w:val="0"/>
        </w:rPr>
        <w:t>Net Present Value</w:t>
      </w:r>
    </w:p>
    <w:p w:rsidR="00A937EF" w:rsidRDefault="00A937EF" w:rsidP="00A937EF">
      <w:pPr>
        <w:jc w:val="both"/>
        <w:rPr>
          <w:rFonts w:ascii="Times-Roman" w:hAnsi="Times-Roman"/>
          <w:b/>
          <w:snapToGrid w:val="0"/>
        </w:rPr>
      </w:pPr>
    </w:p>
    <w:p w:rsidR="00A937EF" w:rsidRDefault="00A937EF" w:rsidP="00A937EF">
      <w:pPr>
        <w:jc w:val="both"/>
        <w:rPr>
          <w:rFonts w:ascii="Times-Roman" w:hAnsi="Times-Roman"/>
          <w:snapToGrid w:val="0"/>
        </w:rPr>
      </w:pPr>
      <w:r>
        <w:rPr>
          <w:rFonts w:ascii="Times-Roman" w:hAnsi="Times-Roman"/>
          <w:snapToGrid w:val="0"/>
        </w:rPr>
        <w:t>The standard concept for evaluating investment opportunities is Net Present Value (NPV).</w:t>
      </w:r>
      <w:r>
        <w:rPr>
          <w:rFonts w:ascii="Times-Roman" w:hAnsi="Times-Roman"/>
          <w:snapToGrid w:val="0"/>
          <w:sz w:val="13"/>
        </w:rPr>
        <w:t xml:space="preserve"> </w:t>
      </w:r>
      <w:r>
        <w:rPr>
          <w:rFonts w:ascii="Times-Roman" w:hAnsi="Times-Roman"/>
          <w:snapToGrid w:val="0"/>
        </w:rPr>
        <w:t>Net present value compares the upfront costs of an investment project with the value of the benefits of the project.  Subtracting the upfront investment costs from the discounted cash flows yields a project's Net Present Value. If the result is positive (i.e., a "positive NPV project"), the investment should be undertaken.</w:t>
      </w:r>
    </w:p>
    <w:p w:rsidR="00A937EF" w:rsidRDefault="00A937EF" w:rsidP="00A937EF">
      <w:pPr>
        <w:jc w:val="both"/>
        <w:rPr>
          <w:rFonts w:ascii="Times-Roman" w:hAnsi="Times-Roman"/>
          <w:snapToGrid w:val="0"/>
        </w:rPr>
      </w:pP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640"/>
      </w:tblGrid>
      <w:tr w:rsidR="00A937EF" w:rsidTr="003D6842">
        <w:trPr>
          <w:cantSplit/>
        </w:trPr>
        <w:tc>
          <w:tcPr>
            <w:tcW w:w="8640" w:type="dxa"/>
          </w:tcPr>
          <w:p w:rsidR="00A937EF" w:rsidRDefault="00A937EF" w:rsidP="003D6842">
            <w:pPr>
              <w:jc w:val="center"/>
              <w:rPr>
                <w:rFonts w:ascii="Symbol" w:hAnsi="Symbol"/>
                <w:snapToGrid w:val="0"/>
                <w:sz w:val="24"/>
              </w:rPr>
            </w:pPr>
            <w:r>
              <w:rPr>
                <w:rFonts w:ascii="Times-Roman" w:hAnsi="Times-Roman"/>
                <w:snapToGrid w:val="0"/>
                <w:sz w:val="24"/>
              </w:rPr>
              <w:t>Net Present Value  =  Discounted Cash Flows - Upfront Investment Costs</w:t>
            </w:r>
          </w:p>
        </w:tc>
      </w:tr>
    </w:tbl>
    <w:p w:rsidR="00A937EF" w:rsidRDefault="00A937EF" w:rsidP="00A937EF">
      <w:pPr>
        <w:jc w:val="both"/>
        <w:rPr>
          <w:rFonts w:ascii="Times-Roman" w:hAnsi="Times-Roman"/>
          <w:snapToGrid w:val="0"/>
        </w:rPr>
      </w:pPr>
    </w:p>
    <w:p w:rsidR="00A937EF" w:rsidRDefault="00A937EF" w:rsidP="00A937EF">
      <w:pPr>
        <w:jc w:val="both"/>
        <w:rPr>
          <w:rFonts w:ascii="Times-Roman" w:hAnsi="Times-Roman"/>
          <w:snapToGrid w:val="0"/>
        </w:rPr>
      </w:pPr>
      <w:r>
        <w:rPr>
          <w:rFonts w:ascii="Times-Roman" w:hAnsi="Times-Roman"/>
          <w:snapToGrid w:val="0"/>
        </w:rPr>
        <w:t xml:space="preserve">It is critical to recognize how future cash flows are </w:t>
      </w:r>
      <w:r>
        <w:rPr>
          <w:rFonts w:ascii="Times-Bold" w:hAnsi="Times-Bold"/>
          <w:b/>
          <w:snapToGrid w:val="0"/>
        </w:rPr>
        <w:t xml:space="preserve">discounted </w:t>
      </w:r>
      <w:r>
        <w:rPr>
          <w:rFonts w:ascii="Times-Roman" w:hAnsi="Times-Roman"/>
          <w:snapToGrid w:val="0"/>
        </w:rPr>
        <w:t>to reflect their uncertainty and the fact that they are realized in later years. Clearly, $100 promised next year is worth less than $100 you have got today.</w:t>
      </w:r>
      <w:r>
        <w:rPr>
          <w:rFonts w:ascii="Times-Roman" w:hAnsi="Times-Roman"/>
          <w:snapToGrid w:val="0"/>
          <w:sz w:val="13"/>
        </w:rPr>
        <w:t xml:space="preserve">  </w:t>
      </w:r>
      <w:r>
        <w:rPr>
          <w:rFonts w:ascii="Times-Roman" w:hAnsi="Times-Roman"/>
          <w:snapToGrid w:val="0"/>
        </w:rPr>
        <w:t xml:space="preserve">Additional uncertainty also discounts the value of cash flows earned in the future. If you are 95% certain of receiving this cash flow, it is worth more than if you’re only 90% sure. A </w:t>
      </w:r>
      <w:r>
        <w:rPr>
          <w:rFonts w:ascii="Times-Bold" w:hAnsi="Times-Bold"/>
          <w:b/>
          <w:snapToGrid w:val="0"/>
        </w:rPr>
        <w:t xml:space="preserve">discount rate </w:t>
      </w:r>
      <w:r>
        <w:rPr>
          <w:rFonts w:ascii="Times-Roman" w:hAnsi="Times-Roman"/>
          <w:snapToGrid w:val="0"/>
        </w:rPr>
        <w:t xml:space="preserve">— based on both macroeconomic and project-specific uncertainty — is used to convert future cash flows to present value terms. </w:t>
      </w:r>
    </w:p>
    <w:p w:rsidR="00A937EF" w:rsidRDefault="00A937EF" w:rsidP="00A937EF">
      <w:pPr>
        <w:jc w:val="both"/>
        <w:rPr>
          <w:rFonts w:ascii="Times-Roman" w:hAnsi="Times-Roman"/>
          <w:snapToGrid w:val="0"/>
        </w:rPr>
      </w:pPr>
    </w:p>
    <w:p w:rsidR="00A937EF" w:rsidRDefault="00A937EF" w:rsidP="00A937EF">
      <w:pPr>
        <w:jc w:val="both"/>
        <w:rPr>
          <w:rFonts w:ascii="Times-Roman" w:hAnsi="Times-Roman"/>
          <w:snapToGrid w:val="0"/>
        </w:rPr>
      </w:pPr>
      <w:r>
        <w:rPr>
          <w:rFonts w:ascii="Times-Roman" w:hAnsi="Times-Roman"/>
          <w:snapToGrid w:val="0"/>
        </w:rPr>
        <w:t>We can use a chart to summarize NPV evaluation for a hypothetical project for which $800 is invested up front and that produces five years of cash flows as follows (the discount rate here is assumed to be 10 percent):</w:t>
      </w:r>
    </w:p>
    <w:p w:rsidR="00A937EF" w:rsidRDefault="00A937EF" w:rsidP="00A937EF">
      <w:pPr>
        <w:jc w:val="both"/>
        <w:rPr>
          <w:rFonts w:ascii="Times-Roman" w:hAnsi="Times-Roman"/>
          <w:snapToGrid w:val="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2160"/>
        <w:gridCol w:w="2160"/>
        <w:gridCol w:w="2790"/>
      </w:tblGrid>
      <w:tr w:rsidR="00A937EF" w:rsidTr="003D6842">
        <w:trPr>
          <w:cantSplit/>
          <w:trHeight w:val="250"/>
          <w:jc w:val="center"/>
        </w:trPr>
        <w:tc>
          <w:tcPr>
            <w:tcW w:w="810" w:type="dxa"/>
          </w:tcPr>
          <w:p w:rsidR="00A937EF" w:rsidRDefault="00A937EF" w:rsidP="003D6842">
            <w:pPr>
              <w:jc w:val="center"/>
              <w:rPr>
                <w:rFonts w:ascii="Times-Roman" w:hAnsi="Times-Roman"/>
                <w:b/>
                <w:snapToGrid w:val="0"/>
              </w:rPr>
            </w:pPr>
            <w:r>
              <w:rPr>
                <w:rFonts w:ascii="Times-Roman" w:hAnsi="Times-Roman"/>
                <w:b/>
                <w:snapToGrid w:val="0"/>
              </w:rPr>
              <w:t>Year</w:t>
            </w:r>
          </w:p>
        </w:tc>
        <w:tc>
          <w:tcPr>
            <w:tcW w:w="2160" w:type="dxa"/>
          </w:tcPr>
          <w:p w:rsidR="00A937EF" w:rsidRDefault="00A937EF" w:rsidP="003D6842">
            <w:pPr>
              <w:jc w:val="center"/>
              <w:rPr>
                <w:rFonts w:ascii="Times-Roman" w:hAnsi="Times-Roman"/>
                <w:b/>
                <w:snapToGrid w:val="0"/>
              </w:rPr>
            </w:pPr>
            <w:r>
              <w:rPr>
                <w:rFonts w:ascii="Times-Roman" w:hAnsi="Times-Roman"/>
                <w:b/>
                <w:snapToGrid w:val="0"/>
              </w:rPr>
              <w:t>Item</w:t>
            </w:r>
          </w:p>
        </w:tc>
        <w:tc>
          <w:tcPr>
            <w:tcW w:w="2160" w:type="dxa"/>
          </w:tcPr>
          <w:p w:rsidR="00A937EF" w:rsidRDefault="00A937EF" w:rsidP="003D6842">
            <w:pPr>
              <w:jc w:val="center"/>
              <w:rPr>
                <w:rFonts w:ascii="Times-Roman" w:hAnsi="Times-Roman"/>
                <w:b/>
                <w:snapToGrid w:val="0"/>
              </w:rPr>
            </w:pPr>
            <w:r>
              <w:rPr>
                <w:rFonts w:ascii="Times-Roman" w:hAnsi="Times-Roman"/>
                <w:b/>
                <w:snapToGrid w:val="0"/>
              </w:rPr>
              <w:t>Cash Flows</w:t>
            </w:r>
          </w:p>
        </w:tc>
        <w:tc>
          <w:tcPr>
            <w:tcW w:w="2790" w:type="dxa"/>
          </w:tcPr>
          <w:p w:rsidR="00A937EF" w:rsidRDefault="00A937EF" w:rsidP="003D6842">
            <w:pPr>
              <w:jc w:val="center"/>
              <w:rPr>
                <w:rFonts w:ascii="Times-Roman" w:hAnsi="Times-Roman"/>
                <w:b/>
                <w:snapToGrid w:val="0"/>
              </w:rPr>
            </w:pPr>
            <w:r>
              <w:rPr>
                <w:rFonts w:ascii="Times-Roman" w:hAnsi="Times-Roman"/>
                <w:b/>
                <w:snapToGrid w:val="0"/>
              </w:rPr>
              <w:t>"Discounted Value"</w:t>
            </w:r>
          </w:p>
        </w:tc>
      </w:tr>
      <w:tr w:rsidR="00A937EF" w:rsidTr="003D6842">
        <w:trPr>
          <w:cantSplit/>
          <w:trHeight w:val="250"/>
          <w:jc w:val="center"/>
        </w:trPr>
        <w:tc>
          <w:tcPr>
            <w:tcW w:w="810" w:type="dxa"/>
          </w:tcPr>
          <w:p w:rsidR="00A937EF" w:rsidRDefault="00A937EF" w:rsidP="003D6842">
            <w:pPr>
              <w:jc w:val="center"/>
              <w:rPr>
                <w:rFonts w:ascii="Times-Roman" w:hAnsi="Times-Roman"/>
                <w:snapToGrid w:val="0"/>
              </w:rPr>
            </w:pPr>
            <w:r>
              <w:rPr>
                <w:rFonts w:ascii="Times-Roman" w:hAnsi="Times-Roman"/>
                <w:snapToGrid w:val="0"/>
              </w:rPr>
              <w:t>0</w:t>
            </w:r>
          </w:p>
        </w:tc>
        <w:tc>
          <w:tcPr>
            <w:tcW w:w="2160" w:type="dxa"/>
          </w:tcPr>
          <w:p w:rsidR="00A937EF" w:rsidRDefault="00A937EF" w:rsidP="003D6842">
            <w:pPr>
              <w:jc w:val="center"/>
              <w:rPr>
                <w:rFonts w:ascii="Times-Roman" w:hAnsi="Times-Roman"/>
                <w:snapToGrid w:val="0"/>
              </w:rPr>
            </w:pPr>
            <w:r>
              <w:rPr>
                <w:rFonts w:ascii="Times-Roman" w:hAnsi="Times-Roman"/>
                <w:snapToGrid w:val="0"/>
              </w:rPr>
              <w:t>Upfront Costs</w:t>
            </w:r>
          </w:p>
        </w:tc>
        <w:tc>
          <w:tcPr>
            <w:tcW w:w="2160" w:type="dxa"/>
          </w:tcPr>
          <w:p w:rsidR="00A937EF" w:rsidRDefault="00A937EF" w:rsidP="003D6842">
            <w:pPr>
              <w:jc w:val="center"/>
              <w:rPr>
                <w:rFonts w:ascii="Times-Roman" w:hAnsi="Times-Roman"/>
                <w:snapToGrid w:val="0"/>
              </w:rPr>
            </w:pPr>
            <w:r>
              <w:rPr>
                <w:rFonts w:ascii="Times-Roman" w:hAnsi="Times-Roman"/>
                <w:snapToGrid w:val="0"/>
              </w:rPr>
              <w:t>-$800</w:t>
            </w:r>
          </w:p>
        </w:tc>
        <w:tc>
          <w:tcPr>
            <w:tcW w:w="2790" w:type="dxa"/>
          </w:tcPr>
          <w:p w:rsidR="00A937EF" w:rsidRDefault="00A937EF" w:rsidP="003D6842">
            <w:pPr>
              <w:jc w:val="center"/>
              <w:rPr>
                <w:rFonts w:ascii="Times-Roman" w:hAnsi="Times-Roman"/>
                <w:snapToGrid w:val="0"/>
              </w:rPr>
            </w:pPr>
            <w:r>
              <w:rPr>
                <w:rFonts w:ascii="Times-Roman" w:hAnsi="Times-Roman"/>
                <w:snapToGrid w:val="0"/>
              </w:rPr>
              <w:t>-$800</w:t>
            </w:r>
          </w:p>
        </w:tc>
      </w:tr>
      <w:tr w:rsidR="00A937EF" w:rsidTr="003D6842">
        <w:trPr>
          <w:cantSplit/>
          <w:trHeight w:val="250"/>
          <w:jc w:val="center"/>
        </w:trPr>
        <w:tc>
          <w:tcPr>
            <w:tcW w:w="810" w:type="dxa"/>
          </w:tcPr>
          <w:p w:rsidR="00A937EF" w:rsidRDefault="00A937EF" w:rsidP="003D6842">
            <w:pPr>
              <w:jc w:val="center"/>
              <w:rPr>
                <w:rFonts w:ascii="Times-Roman" w:hAnsi="Times-Roman"/>
                <w:snapToGrid w:val="0"/>
              </w:rPr>
            </w:pPr>
            <w:r>
              <w:rPr>
                <w:rFonts w:ascii="Times-Roman" w:hAnsi="Times-Roman"/>
                <w:snapToGrid w:val="0"/>
              </w:rPr>
              <w:t>1</w:t>
            </w:r>
          </w:p>
        </w:tc>
        <w:tc>
          <w:tcPr>
            <w:tcW w:w="2160" w:type="dxa"/>
          </w:tcPr>
          <w:p w:rsidR="00A937EF" w:rsidRDefault="00A937EF" w:rsidP="003D6842">
            <w:pPr>
              <w:jc w:val="center"/>
              <w:rPr>
                <w:rFonts w:ascii="Times-Roman" w:hAnsi="Times-Roman"/>
                <w:snapToGrid w:val="0"/>
              </w:rPr>
            </w:pPr>
            <w:r>
              <w:rPr>
                <w:rFonts w:ascii="Times-Roman" w:hAnsi="Times-Roman"/>
                <w:snapToGrid w:val="0"/>
              </w:rPr>
              <w:t>Cash Flow</w:t>
            </w:r>
          </w:p>
        </w:tc>
        <w:tc>
          <w:tcPr>
            <w:tcW w:w="2160" w:type="dxa"/>
          </w:tcPr>
          <w:p w:rsidR="00A937EF" w:rsidRDefault="00A937EF" w:rsidP="003D6842">
            <w:pPr>
              <w:jc w:val="center"/>
              <w:rPr>
                <w:rFonts w:ascii="Times-Roman" w:hAnsi="Times-Roman"/>
                <w:snapToGrid w:val="0"/>
              </w:rPr>
            </w:pPr>
            <w:r>
              <w:rPr>
                <w:rFonts w:ascii="Times-Roman" w:hAnsi="Times-Roman"/>
                <w:snapToGrid w:val="0"/>
              </w:rPr>
              <w:t>$150</w:t>
            </w:r>
          </w:p>
        </w:tc>
        <w:tc>
          <w:tcPr>
            <w:tcW w:w="2790" w:type="dxa"/>
          </w:tcPr>
          <w:p w:rsidR="00A937EF" w:rsidRDefault="00A937EF" w:rsidP="003D6842">
            <w:pPr>
              <w:jc w:val="center"/>
              <w:rPr>
                <w:rFonts w:ascii="Times-Roman" w:hAnsi="Times-Roman"/>
                <w:snapToGrid w:val="0"/>
              </w:rPr>
            </w:pPr>
            <w:r>
              <w:rPr>
                <w:rFonts w:ascii="Times-Roman" w:hAnsi="Times-Roman"/>
                <w:snapToGrid w:val="0"/>
              </w:rPr>
              <w:t>$136.36</w:t>
            </w:r>
          </w:p>
        </w:tc>
      </w:tr>
      <w:tr w:rsidR="00A937EF" w:rsidTr="003D6842">
        <w:trPr>
          <w:cantSplit/>
          <w:trHeight w:val="250"/>
          <w:jc w:val="center"/>
        </w:trPr>
        <w:tc>
          <w:tcPr>
            <w:tcW w:w="810" w:type="dxa"/>
          </w:tcPr>
          <w:p w:rsidR="00A937EF" w:rsidRDefault="00A937EF" w:rsidP="003D6842">
            <w:pPr>
              <w:jc w:val="center"/>
              <w:rPr>
                <w:rFonts w:ascii="Times-Roman" w:hAnsi="Times-Roman"/>
                <w:snapToGrid w:val="0"/>
              </w:rPr>
            </w:pPr>
            <w:r>
              <w:rPr>
                <w:rFonts w:ascii="Times-Roman" w:hAnsi="Times-Roman"/>
                <w:snapToGrid w:val="0"/>
              </w:rPr>
              <w:t>2</w:t>
            </w:r>
          </w:p>
        </w:tc>
        <w:tc>
          <w:tcPr>
            <w:tcW w:w="2160" w:type="dxa"/>
          </w:tcPr>
          <w:p w:rsidR="00A937EF" w:rsidRDefault="00A937EF" w:rsidP="003D6842">
            <w:pPr>
              <w:jc w:val="center"/>
              <w:rPr>
                <w:rFonts w:ascii="Times-Roman" w:hAnsi="Times-Roman"/>
                <w:snapToGrid w:val="0"/>
              </w:rPr>
            </w:pPr>
            <w:r>
              <w:rPr>
                <w:rFonts w:ascii="Times-Roman" w:hAnsi="Times-Roman"/>
                <w:snapToGrid w:val="0"/>
              </w:rPr>
              <w:t>Cash Flow</w:t>
            </w:r>
          </w:p>
        </w:tc>
        <w:tc>
          <w:tcPr>
            <w:tcW w:w="2160" w:type="dxa"/>
          </w:tcPr>
          <w:p w:rsidR="00A937EF" w:rsidRDefault="00A937EF" w:rsidP="003D6842">
            <w:pPr>
              <w:jc w:val="center"/>
              <w:rPr>
                <w:rFonts w:ascii="Times-Roman" w:hAnsi="Times-Roman"/>
                <w:snapToGrid w:val="0"/>
              </w:rPr>
            </w:pPr>
            <w:r>
              <w:rPr>
                <w:rFonts w:ascii="Times-Roman" w:hAnsi="Times-Roman"/>
                <w:snapToGrid w:val="0"/>
              </w:rPr>
              <w:t>$200</w:t>
            </w:r>
          </w:p>
        </w:tc>
        <w:tc>
          <w:tcPr>
            <w:tcW w:w="2790" w:type="dxa"/>
          </w:tcPr>
          <w:p w:rsidR="00A937EF" w:rsidRDefault="00A937EF" w:rsidP="003D6842">
            <w:pPr>
              <w:jc w:val="center"/>
              <w:rPr>
                <w:rFonts w:ascii="Times-Roman" w:hAnsi="Times-Roman"/>
                <w:snapToGrid w:val="0"/>
              </w:rPr>
            </w:pPr>
            <w:r>
              <w:rPr>
                <w:rFonts w:ascii="Times-Roman" w:hAnsi="Times-Roman"/>
                <w:snapToGrid w:val="0"/>
              </w:rPr>
              <w:t>$165.29</w:t>
            </w:r>
          </w:p>
        </w:tc>
      </w:tr>
      <w:tr w:rsidR="00A937EF" w:rsidTr="003D6842">
        <w:trPr>
          <w:cantSplit/>
          <w:trHeight w:val="250"/>
          <w:jc w:val="center"/>
        </w:trPr>
        <w:tc>
          <w:tcPr>
            <w:tcW w:w="810" w:type="dxa"/>
          </w:tcPr>
          <w:p w:rsidR="00A937EF" w:rsidRDefault="00A937EF" w:rsidP="003D6842">
            <w:pPr>
              <w:jc w:val="center"/>
              <w:rPr>
                <w:rFonts w:ascii="Times-Roman" w:hAnsi="Times-Roman"/>
                <w:snapToGrid w:val="0"/>
              </w:rPr>
            </w:pPr>
            <w:r>
              <w:rPr>
                <w:rFonts w:ascii="Times-Roman" w:hAnsi="Times-Roman"/>
                <w:snapToGrid w:val="0"/>
              </w:rPr>
              <w:t>3</w:t>
            </w:r>
          </w:p>
        </w:tc>
        <w:tc>
          <w:tcPr>
            <w:tcW w:w="2160" w:type="dxa"/>
          </w:tcPr>
          <w:p w:rsidR="00A937EF" w:rsidRDefault="00A937EF" w:rsidP="003D6842">
            <w:pPr>
              <w:jc w:val="center"/>
              <w:rPr>
                <w:rFonts w:ascii="Times-Roman" w:hAnsi="Times-Roman"/>
                <w:snapToGrid w:val="0"/>
              </w:rPr>
            </w:pPr>
            <w:r>
              <w:rPr>
                <w:rFonts w:ascii="Times-Roman" w:hAnsi="Times-Roman"/>
                <w:snapToGrid w:val="0"/>
              </w:rPr>
              <w:t>Cash Flow</w:t>
            </w:r>
          </w:p>
        </w:tc>
        <w:tc>
          <w:tcPr>
            <w:tcW w:w="2160" w:type="dxa"/>
          </w:tcPr>
          <w:p w:rsidR="00A937EF" w:rsidRDefault="00A937EF" w:rsidP="003D6842">
            <w:pPr>
              <w:jc w:val="center"/>
              <w:rPr>
                <w:rFonts w:ascii="Times-Roman" w:hAnsi="Times-Roman"/>
                <w:snapToGrid w:val="0"/>
              </w:rPr>
            </w:pPr>
            <w:r>
              <w:rPr>
                <w:rFonts w:ascii="Times-Roman" w:hAnsi="Times-Roman"/>
                <w:snapToGrid w:val="0"/>
              </w:rPr>
              <w:t>$300</w:t>
            </w:r>
          </w:p>
        </w:tc>
        <w:tc>
          <w:tcPr>
            <w:tcW w:w="2790" w:type="dxa"/>
          </w:tcPr>
          <w:p w:rsidR="00A937EF" w:rsidRDefault="00A937EF" w:rsidP="003D6842">
            <w:pPr>
              <w:jc w:val="center"/>
              <w:rPr>
                <w:rFonts w:ascii="Times-Roman" w:hAnsi="Times-Roman"/>
                <w:snapToGrid w:val="0"/>
              </w:rPr>
            </w:pPr>
            <w:r>
              <w:rPr>
                <w:rFonts w:ascii="Times-Roman" w:hAnsi="Times-Roman"/>
                <w:snapToGrid w:val="0"/>
              </w:rPr>
              <w:t>$225.39</w:t>
            </w:r>
          </w:p>
        </w:tc>
      </w:tr>
      <w:tr w:rsidR="00A937EF" w:rsidTr="003D6842">
        <w:trPr>
          <w:cantSplit/>
          <w:trHeight w:val="250"/>
          <w:jc w:val="center"/>
        </w:trPr>
        <w:tc>
          <w:tcPr>
            <w:tcW w:w="810" w:type="dxa"/>
          </w:tcPr>
          <w:p w:rsidR="00A937EF" w:rsidRDefault="00A937EF" w:rsidP="003D6842">
            <w:pPr>
              <w:jc w:val="center"/>
              <w:rPr>
                <w:rFonts w:ascii="Times-Roman" w:hAnsi="Times-Roman"/>
                <w:snapToGrid w:val="0"/>
              </w:rPr>
            </w:pPr>
            <w:r>
              <w:rPr>
                <w:rFonts w:ascii="Times-Roman" w:hAnsi="Times-Roman"/>
                <w:snapToGrid w:val="0"/>
              </w:rPr>
              <w:t>4</w:t>
            </w:r>
          </w:p>
        </w:tc>
        <w:tc>
          <w:tcPr>
            <w:tcW w:w="2160" w:type="dxa"/>
          </w:tcPr>
          <w:p w:rsidR="00A937EF" w:rsidRDefault="00A937EF" w:rsidP="003D6842">
            <w:pPr>
              <w:jc w:val="center"/>
              <w:rPr>
                <w:rFonts w:ascii="Times-Roman" w:hAnsi="Times-Roman"/>
                <w:snapToGrid w:val="0"/>
              </w:rPr>
            </w:pPr>
            <w:r>
              <w:rPr>
                <w:rFonts w:ascii="Times-Roman" w:hAnsi="Times-Roman"/>
                <w:snapToGrid w:val="0"/>
              </w:rPr>
              <w:t>Cash Flow</w:t>
            </w:r>
          </w:p>
        </w:tc>
        <w:tc>
          <w:tcPr>
            <w:tcW w:w="2160" w:type="dxa"/>
          </w:tcPr>
          <w:p w:rsidR="00A937EF" w:rsidRDefault="00A937EF" w:rsidP="003D6842">
            <w:pPr>
              <w:jc w:val="center"/>
              <w:rPr>
                <w:rFonts w:ascii="Times-Roman" w:hAnsi="Times-Roman"/>
                <w:snapToGrid w:val="0"/>
              </w:rPr>
            </w:pPr>
            <w:r>
              <w:rPr>
                <w:rFonts w:ascii="Times-Roman" w:hAnsi="Times-Roman"/>
                <w:snapToGrid w:val="0"/>
              </w:rPr>
              <w:t>$200</w:t>
            </w:r>
          </w:p>
        </w:tc>
        <w:tc>
          <w:tcPr>
            <w:tcW w:w="2790" w:type="dxa"/>
          </w:tcPr>
          <w:p w:rsidR="00A937EF" w:rsidRDefault="00A937EF" w:rsidP="003D6842">
            <w:pPr>
              <w:jc w:val="center"/>
              <w:rPr>
                <w:rFonts w:ascii="Times-Roman" w:hAnsi="Times-Roman"/>
                <w:snapToGrid w:val="0"/>
              </w:rPr>
            </w:pPr>
            <w:r>
              <w:rPr>
                <w:rFonts w:ascii="Times-Roman" w:hAnsi="Times-Roman"/>
                <w:snapToGrid w:val="0"/>
              </w:rPr>
              <w:t>$136.60</w:t>
            </w:r>
          </w:p>
        </w:tc>
      </w:tr>
      <w:tr w:rsidR="00A937EF" w:rsidTr="003D6842">
        <w:trPr>
          <w:cantSplit/>
          <w:trHeight w:val="250"/>
          <w:jc w:val="center"/>
        </w:trPr>
        <w:tc>
          <w:tcPr>
            <w:tcW w:w="810" w:type="dxa"/>
          </w:tcPr>
          <w:p w:rsidR="00A937EF" w:rsidRDefault="00A937EF" w:rsidP="003D6842">
            <w:pPr>
              <w:jc w:val="center"/>
              <w:rPr>
                <w:rFonts w:ascii="Times-Roman" w:hAnsi="Times-Roman"/>
                <w:snapToGrid w:val="0"/>
              </w:rPr>
            </w:pPr>
            <w:r>
              <w:rPr>
                <w:rFonts w:ascii="Times-Roman" w:hAnsi="Times-Roman"/>
                <w:snapToGrid w:val="0"/>
              </w:rPr>
              <w:t>5</w:t>
            </w:r>
          </w:p>
        </w:tc>
        <w:tc>
          <w:tcPr>
            <w:tcW w:w="2160" w:type="dxa"/>
          </w:tcPr>
          <w:p w:rsidR="00A937EF" w:rsidRDefault="00A937EF" w:rsidP="003D6842">
            <w:pPr>
              <w:jc w:val="center"/>
              <w:rPr>
                <w:rFonts w:ascii="Times-Roman" w:hAnsi="Times-Roman"/>
                <w:snapToGrid w:val="0"/>
              </w:rPr>
            </w:pPr>
            <w:r>
              <w:rPr>
                <w:rFonts w:ascii="Times-Roman" w:hAnsi="Times-Roman"/>
                <w:snapToGrid w:val="0"/>
              </w:rPr>
              <w:t>Cash Flow</w:t>
            </w:r>
          </w:p>
        </w:tc>
        <w:tc>
          <w:tcPr>
            <w:tcW w:w="2160" w:type="dxa"/>
          </w:tcPr>
          <w:p w:rsidR="00A937EF" w:rsidRDefault="00A937EF" w:rsidP="003D6842">
            <w:pPr>
              <w:jc w:val="center"/>
              <w:rPr>
                <w:rFonts w:ascii="Times-Roman" w:hAnsi="Times-Roman"/>
                <w:snapToGrid w:val="0"/>
              </w:rPr>
            </w:pPr>
            <w:r>
              <w:rPr>
                <w:rFonts w:ascii="Times-Roman" w:hAnsi="Times-Roman"/>
                <w:snapToGrid w:val="0"/>
              </w:rPr>
              <w:t>$150</w:t>
            </w:r>
          </w:p>
        </w:tc>
        <w:tc>
          <w:tcPr>
            <w:tcW w:w="2790" w:type="dxa"/>
          </w:tcPr>
          <w:p w:rsidR="00A937EF" w:rsidRDefault="00A937EF" w:rsidP="003D6842">
            <w:pPr>
              <w:jc w:val="center"/>
              <w:rPr>
                <w:rFonts w:ascii="Times-Roman" w:hAnsi="Times-Roman"/>
                <w:snapToGrid w:val="0"/>
              </w:rPr>
            </w:pPr>
            <w:r>
              <w:rPr>
                <w:rFonts w:ascii="Times-Roman" w:hAnsi="Times-Roman"/>
                <w:snapToGrid w:val="0"/>
              </w:rPr>
              <w:t>$93.14</w:t>
            </w:r>
          </w:p>
        </w:tc>
      </w:tr>
      <w:tr w:rsidR="00A937EF" w:rsidTr="003D6842">
        <w:trPr>
          <w:cantSplit/>
          <w:trHeight w:val="250"/>
          <w:jc w:val="center"/>
        </w:trPr>
        <w:tc>
          <w:tcPr>
            <w:tcW w:w="810" w:type="dxa"/>
            <w:tcBorders>
              <w:bottom w:val="single" w:sz="4" w:space="0" w:color="auto"/>
            </w:tcBorders>
          </w:tcPr>
          <w:p w:rsidR="00A937EF" w:rsidRDefault="00A937EF" w:rsidP="003D6842">
            <w:pPr>
              <w:jc w:val="center"/>
              <w:rPr>
                <w:rFonts w:ascii="Times-Roman" w:hAnsi="Times-Roman"/>
                <w:snapToGrid w:val="0"/>
              </w:rPr>
            </w:pPr>
          </w:p>
        </w:tc>
        <w:tc>
          <w:tcPr>
            <w:tcW w:w="2160" w:type="dxa"/>
            <w:tcBorders>
              <w:bottom w:val="single" w:sz="4" w:space="0" w:color="auto"/>
            </w:tcBorders>
          </w:tcPr>
          <w:p w:rsidR="00A937EF" w:rsidRDefault="00A937EF" w:rsidP="003D6842">
            <w:pPr>
              <w:jc w:val="center"/>
              <w:rPr>
                <w:rFonts w:ascii="Times-Roman" w:hAnsi="Times-Roman"/>
                <w:snapToGrid w:val="0"/>
              </w:rPr>
            </w:pPr>
            <w:r>
              <w:rPr>
                <w:rFonts w:ascii="Times-Roman" w:hAnsi="Times-Roman"/>
                <w:snapToGrid w:val="0"/>
              </w:rPr>
              <w:t>TOTAL</w:t>
            </w:r>
          </w:p>
        </w:tc>
        <w:tc>
          <w:tcPr>
            <w:tcW w:w="2160" w:type="dxa"/>
            <w:tcBorders>
              <w:bottom w:val="single" w:sz="4" w:space="0" w:color="auto"/>
            </w:tcBorders>
          </w:tcPr>
          <w:p w:rsidR="00A937EF" w:rsidRDefault="00A937EF" w:rsidP="003D6842">
            <w:pPr>
              <w:jc w:val="center"/>
              <w:rPr>
                <w:rFonts w:ascii="Times-Roman" w:hAnsi="Times-Roman"/>
                <w:snapToGrid w:val="0"/>
              </w:rPr>
            </w:pPr>
            <w:r>
              <w:rPr>
                <w:rFonts w:ascii="Times-Roman" w:hAnsi="Times-Roman"/>
                <w:snapToGrid w:val="0"/>
              </w:rPr>
              <w:t>+$200</w:t>
            </w:r>
          </w:p>
        </w:tc>
        <w:tc>
          <w:tcPr>
            <w:tcW w:w="2790" w:type="dxa"/>
            <w:tcBorders>
              <w:bottom w:val="single" w:sz="4" w:space="0" w:color="auto"/>
            </w:tcBorders>
          </w:tcPr>
          <w:p w:rsidR="00A937EF" w:rsidRDefault="00A937EF" w:rsidP="003D6842">
            <w:pPr>
              <w:jc w:val="center"/>
              <w:rPr>
                <w:rFonts w:ascii="Times-Roman" w:hAnsi="Times-Roman"/>
                <w:snapToGrid w:val="0"/>
              </w:rPr>
            </w:pPr>
            <w:r>
              <w:rPr>
                <w:rFonts w:ascii="Times-Roman" w:hAnsi="Times-Roman"/>
                <w:snapToGrid w:val="0"/>
              </w:rPr>
              <w:t>-$43.22</w:t>
            </w:r>
          </w:p>
        </w:tc>
      </w:tr>
    </w:tbl>
    <w:p w:rsidR="00A937EF" w:rsidRDefault="00A937EF" w:rsidP="00A937EF">
      <w:pPr>
        <w:jc w:val="both"/>
        <w:rPr>
          <w:rFonts w:ascii="Times-Roman" w:hAnsi="Times-Roman"/>
          <w:snapToGrid w:val="0"/>
        </w:rPr>
      </w:pPr>
    </w:p>
    <w:p w:rsidR="00A937EF" w:rsidRDefault="00A937EF" w:rsidP="00A937EF">
      <w:pPr>
        <w:jc w:val="both"/>
        <w:rPr>
          <w:rFonts w:ascii="Times-Roman" w:hAnsi="Times-Roman"/>
          <w:snapToGrid w:val="0"/>
        </w:rPr>
      </w:pPr>
      <w:r>
        <w:rPr>
          <w:rFonts w:ascii="Times-Roman" w:hAnsi="Times-Roman"/>
          <w:snapToGrid w:val="0"/>
        </w:rPr>
        <w:t>Note that the "value" of the project is positive, but with proper discounting, its NPV is negative.</w:t>
      </w:r>
    </w:p>
    <w:p w:rsidR="00A937EF" w:rsidRDefault="00A937EF" w:rsidP="00A937EF">
      <w:pPr>
        <w:jc w:val="both"/>
        <w:rPr>
          <w:rFonts w:ascii="Times-Roman" w:hAnsi="Times-Roman"/>
          <w:b/>
          <w:snapToGrid w:val="0"/>
        </w:rPr>
      </w:pPr>
    </w:p>
    <w:p w:rsidR="00A937EF" w:rsidRDefault="00A937EF" w:rsidP="00A937EF">
      <w:pPr>
        <w:jc w:val="both"/>
        <w:rPr>
          <w:rFonts w:ascii="Times-Roman" w:hAnsi="Times-Roman"/>
          <w:b/>
          <w:snapToGrid w:val="0"/>
        </w:rPr>
      </w:pPr>
      <w:r>
        <w:rPr>
          <w:rFonts w:ascii="Times-Roman" w:hAnsi="Times-Roman"/>
          <w:b/>
          <w:snapToGrid w:val="0"/>
        </w:rPr>
        <w:br w:type="page"/>
      </w:r>
      <w:r>
        <w:rPr>
          <w:rFonts w:ascii="Times-Roman" w:hAnsi="Times-Roman"/>
          <w:b/>
          <w:snapToGrid w:val="0"/>
        </w:rPr>
        <w:lastRenderedPageBreak/>
        <w:t xml:space="preserve">B.  Investment as an “Option” </w:t>
      </w:r>
    </w:p>
    <w:p w:rsidR="00A937EF" w:rsidRDefault="00A937EF" w:rsidP="00A937EF">
      <w:pPr>
        <w:jc w:val="both"/>
        <w:rPr>
          <w:rFonts w:ascii="Times-Roman" w:hAnsi="Times-Roman"/>
          <w:b/>
          <w:snapToGrid w:val="0"/>
        </w:rPr>
      </w:pPr>
    </w:p>
    <w:p w:rsidR="00A937EF" w:rsidRDefault="00A937EF" w:rsidP="00A937EF">
      <w:pPr>
        <w:jc w:val="both"/>
        <w:rPr>
          <w:rFonts w:ascii="Times-Roman" w:hAnsi="Times-Roman"/>
          <w:snapToGrid w:val="0"/>
        </w:rPr>
      </w:pPr>
      <w:r>
        <w:rPr>
          <w:rFonts w:ascii="Times-Roman" w:hAnsi="Times-Roman"/>
          <w:snapToGrid w:val="0"/>
        </w:rPr>
        <w:t>The article by Dixit and Pindyck highlights some important aspects of the investment decision that are often ignored in the NPV framework. Their theory doesn't actually contradict the use of net present value to evaluate investment opportunities. It just makes some of the hidden costs and benefits of investment much more explicit.  Firms need to include these additional considerations to appropriately assess their investment opportunities.</w:t>
      </w:r>
      <w:r>
        <w:rPr>
          <w:rFonts w:ascii="Times-Bold" w:hAnsi="Times-Bold"/>
          <w:b/>
          <w:snapToGrid w:val="0"/>
        </w:rPr>
        <w:t xml:space="preserve"> </w:t>
      </w:r>
      <w:r>
        <w:rPr>
          <w:rFonts w:ascii="Times-Bold" w:hAnsi="Times-Bold"/>
          <w:snapToGrid w:val="0"/>
        </w:rPr>
        <w:t xml:space="preserve"> Their </w:t>
      </w:r>
      <w:r>
        <w:rPr>
          <w:rFonts w:ascii="Times-Roman" w:hAnsi="Times-Roman"/>
          <w:snapToGrid w:val="0"/>
        </w:rPr>
        <w:t xml:space="preserve">main contribution is in formalizing the role of opportunity costs in investment decisions.  They consider the potential investments a firm can undertake as a collection of </w:t>
      </w:r>
      <w:r>
        <w:rPr>
          <w:rFonts w:ascii="Times-Roman" w:hAnsi="Times-Roman"/>
          <w:b/>
          <w:snapToGrid w:val="0"/>
        </w:rPr>
        <w:t>options</w:t>
      </w:r>
      <w:r>
        <w:rPr>
          <w:rFonts w:ascii="Times-Roman" w:hAnsi="Times-Roman"/>
          <w:snapToGrid w:val="0"/>
        </w:rPr>
        <w:t xml:space="preserve"> it has — an option is merely the opportunity to do something in the future.</w:t>
      </w:r>
      <w:r>
        <w:rPr>
          <w:rStyle w:val="FootnoteReference"/>
          <w:rFonts w:ascii="Times-Roman" w:hAnsi="Times-Roman"/>
          <w:snapToGrid w:val="0"/>
        </w:rPr>
        <w:footnoteReference w:id="4"/>
      </w:r>
      <w:r>
        <w:rPr>
          <w:rFonts w:ascii="Times-Roman" w:hAnsi="Times-Roman"/>
          <w:snapToGrid w:val="0"/>
          <w:sz w:val="13"/>
        </w:rPr>
        <w:t xml:space="preserve"> </w:t>
      </w:r>
      <w:r>
        <w:rPr>
          <w:rFonts w:ascii="Times-Roman" w:hAnsi="Times-Roman"/>
          <w:snapToGrid w:val="0"/>
        </w:rPr>
        <w:t xml:space="preserve"> As such, any investment a firm makes changes the collection of options it has: </w:t>
      </w:r>
    </w:p>
    <w:p w:rsidR="00A937EF" w:rsidRDefault="00A937EF" w:rsidP="00A937EF">
      <w:pPr>
        <w:jc w:val="both"/>
        <w:rPr>
          <w:rFonts w:ascii="Times-Roman" w:hAnsi="Times-Roman"/>
          <w:snapToGrid w:val="0"/>
        </w:rPr>
      </w:pPr>
    </w:p>
    <w:p w:rsidR="00A937EF" w:rsidRDefault="00A937EF" w:rsidP="00A937EF">
      <w:pPr>
        <w:numPr>
          <w:ilvl w:val="0"/>
          <w:numId w:val="22"/>
        </w:numPr>
        <w:jc w:val="both"/>
        <w:rPr>
          <w:rFonts w:ascii="Times-Roman" w:hAnsi="Times-Roman"/>
          <w:snapToGrid w:val="0"/>
        </w:rPr>
      </w:pPr>
      <w:r>
        <w:rPr>
          <w:rFonts w:ascii="Times-Roman" w:hAnsi="Times-Roman"/>
          <w:snapToGrid w:val="0"/>
          <w:u w:val="single"/>
        </w:rPr>
        <w:t>Options "exercised"</w:t>
      </w:r>
      <w:r>
        <w:rPr>
          <w:rFonts w:ascii="Times-Roman" w:hAnsi="Times-Roman"/>
          <w:snapToGrid w:val="0"/>
        </w:rPr>
        <w:t xml:space="preserve">: actually doing something that you have the opportunity to do is called </w:t>
      </w:r>
      <w:r>
        <w:rPr>
          <w:rFonts w:ascii="Times-Bold" w:hAnsi="Times-Bold"/>
          <w:b/>
          <w:snapToGrid w:val="0"/>
        </w:rPr>
        <w:t xml:space="preserve">exercising </w:t>
      </w:r>
      <w:r>
        <w:rPr>
          <w:rFonts w:ascii="Times-Roman" w:hAnsi="Times-Roman"/>
          <w:snapToGrid w:val="0"/>
        </w:rPr>
        <w:t>the option.</w:t>
      </w:r>
    </w:p>
    <w:p w:rsidR="00A937EF" w:rsidRDefault="00A937EF" w:rsidP="00A937EF">
      <w:pPr>
        <w:jc w:val="both"/>
        <w:rPr>
          <w:rFonts w:ascii="Times-Roman" w:hAnsi="Times-Roman"/>
          <w:snapToGrid w:val="0"/>
        </w:rPr>
      </w:pPr>
    </w:p>
    <w:p w:rsidR="00A937EF" w:rsidRDefault="00A937EF" w:rsidP="00A937EF">
      <w:pPr>
        <w:numPr>
          <w:ilvl w:val="0"/>
          <w:numId w:val="23"/>
        </w:numPr>
        <w:jc w:val="both"/>
        <w:rPr>
          <w:rFonts w:ascii="Times-Roman" w:hAnsi="Times-Roman"/>
          <w:snapToGrid w:val="0"/>
        </w:rPr>
      </w:pPr>
      <w:r>
        <w:rPr>
          <w:rFonts w:ascii="Times-Roman" w:hAnsi="Times-Roman"/>
          <w:snapToGrid w:val="0"/>
          <w:u w:val="single"/>
        </w:rPr>
        <w:t>Options "lost"</w:t>
      </w:r>
      <w:r>
        <w:rPr>
          <w:rFonts w:ascii="Times-Roman" w:hAnsi="Times-Roman"/>
          <w:snapToGrid w:val="0"/>
        </w:rPr>
        <w:t xml:space="preserve">: if the firm can raise only a limited amount of funds for investment, exercising one option (i.e., making an investment) may well prevent the firm from exercising others. This is the essence of opportunity costs — doing one activity means you can't do some other activity — and ought to be considered as part of the upfront cost of making an investment. Note that making an investment always causes at least one option to be lost: the option to </w:t>
      </w:r>
      <w:r>
        <w:rPr>
          <w:rFonts w:ascii="Times-Bold" w:hAnsi="Times-Bold"/>
          <w:b/>
          <w:snapToGrid w:val="0"/>
        </w:rPr>
        <w:t>make the same investment at a later date</w:t>
      </w:r>
      <w:r>
        <w:rPr>
          <w:rFonts w:ascii="Times-Roman" w:hAnsi="Times-Roman"/>
          <w:snapToGrid w:val="0"/>
        </w:rPr>
        <w:t>. The value of the investment may change over time as uncertainty is revealed and market conditions change. We will return to this point again later.</w:t>
      </w:r>
    </w:p>
    <w:p w:rsidR="00A937EF" w:rsidRDefault="00A937EF" w:rsidP="00A937EF">
      <w:pPr>
        <w:jc w:val="both"/>
        <w:rPr>
          <w:rFonts w:ascii="Symbol" w:hAnsi="Symbol"/>
          <w:snapToGrid w:val="0"/>
        </w:rPr>
      </w:pPr>
    </w:p>
    <w:p w:rsidR="00A937EF" w:rsidRDefault="00A937EF" w:rsidP="00A937EF">
      <w:pPr>
        <w:numPr>
          <w:ilvl w:val="0"/>
          <w:numId w:val="24"/>
        </w:numPr>
        <w:jc w:val="both"/>
        <w:rPr>
          <w:rFonts w:ascii="Times-Roman" w:hAnsi="Times-Roman"/>
          <w:snapToGrid w:val="0"/>
        </w:rPr>
      </w:pPr>
      <w:r>
        <w:rPr>
          <w:rFonts w:ascii="Times-Roman" w:hAnsi="Times-Roman"/>
          <w:snapToGrid w:val="0"/>
          <w:u w:val="single"/>
        </w:rPr>
        <w:t>Options "created</w:t>
      </w:r>
      <w:r>
        <w:rPr>
          <w:rFonts w:ascii="Times-Roman" w:hAnsi="Times-Roman"/>
          <w:snapToGrid w:val="0"/>
        </w:rPr>
        <w:t>": this one is a little more subtle (that's why it's often ignored!). A single investment rarely ends the investment "history" of a firm, and many investments involve multiple stages. In that way, making one investment might open up the opportunity — create the option — for other, future investments. The value of these newly created options should also be included as part of the opportunity costs (benefits) of making an investment.</w:t>
      </w:r>
    </w:p>
    <w:p w:rsidR="00A937EF" w:rsidRDefault="00A937EF" w:rsidP="00A937EF">
      <w:pPr>
        <w:jc w:val="both"/>
        <w:rPr>
          <w:rFonts w:ascii="Times-Roman" w:hAnsi="Times-Roman"/>
          <w:snapToGrid w:val="0"/>
        </w:rPr>
      </w:pPr>
    </w:p>
    <w:p w:rsidR="00A937EF" w:rsidRDefault="00A937EF" w:rsidP="00A937EF">
      <w:pPr>
        <w:jc w:val="both"/>
        <w:rPr>
          <w:rFonts w:ascii="Times-Roman" w:hAnsi="Times-Roman"/>
          <w:snapToGrid w:val="0"/>
        </w:rPr>
      </w:pPr>
      <w:r>
        <w:rPr>
          <w:rFonts w:ascii="Times-Roman" w:hAnsi="Times-Roman"/>
          <w:snapToGrid w:val="0"/>
        </w:rPr>
        <w:t xml:space="preserve">One particularly important option that firms lose by choosing to invest is its option to make the same investment in a subsequent period. Conversely, a firm keeps its options to invest later open if it does not choose to invest. Acommon benefit associated with waiting to invest is that, as time goes on, some of the </w:t>
      </w:r>
      <w:r>
        <w:rPr>
          <w:rFonts w:ascii="Times-Bold" w:hAnsi="Times-Bold"/>
          <w:b/>
          <w:snapToGrid w:val="0"/>
        </w:rPr>
        <w:t xml:space="preserve">uncertainty </w:t>
      </w:r>
      <w:r>
        <w:rPr>
          <w:rFonts w:ascii="Times-Roman" w:hAnsi="Times-Roman"/>
          <w:snapToGrid w:val="0"/>
        </w:rPr>
        <w:t>associated with the investment may get resolved. Many aspects of an investment opportunity could be uncertain: how costly the investment will really be, how much more productivity will be generated, and whether customers will be willing to pay for the product associated with the investment. Over time, a firm may be able to specify these with greater certainty, which favors keeping the option open rather than exercising it.</w:t>
      </w:r>
    </w:p>
    <w:p w:rsidR="00A937EF" w:rsidRDefault="00A937EF" w:rsidP="00A937EF">
      <w:pPr>
        <w:jc w:val="both"/>
        <w:rPr>
          <w:rFonts w:ascii="Times-Roman" w:hAnsi="Times-Roman"/>
          <w:snapToGrid w:val="0"/>
        </w:rPr>
      </w:pPr>
    </w:p>
    <w:p w:rsidR="00A937EF" w:rsidRDefault="00A937EF" w:rsidP="00A937EF">
      <w:pPr>
        <w:jc w:val="both"/>
        <w:rPr>
          <w:rFonts w:ascii="Times-Roman" w:hAnsi="Times-Roman"/>
          <w:snapToGrid w:val="0"/>
        </w:rPr>
      </w:pPr>
      <w:r>
        <w:rPr>
          <w:rFonts w:ascii="Times-Roman" w:hAnsi="Times-Roman"/>
          <w:snapToGrid w:val="0"/>
        </w:rPr>
        <w:t xml:space="preserve">The example in the article – and discussed in the lecture – on potentially informative R&amp;D is particularly instructive.  Suppose a firm has to spend $15 million upfront to develop a product whose production costs and sales revenues can only be estimated with the following probabilities.  </w:t>
      </w:r>
    </w:p>
    <w:p w:rsidR="00A937EF" w:rsidRDefault="00A937EF" w:rsidP="00A937EF">
      <w:pPr>
        <w:jc w:val="both"/>
        <w:rPr>
          <w:rFonts w:ascii="Times-Roman" w:hAnsi="Times-Roman"/>
          <w:snapToGrid w:val="0"/>
        </w:rPr>
      </w:pPr>
    </w:p>
    <w:p w:rsidR="00A937EF" w:rsidRDefault="00A937EF" w:rsidP="00A937EF">
      <w:pPr>
        <w:jc w:val="both"/>
        <w:rPr>
          <w:rFonts w:ascii="Times-Roman" w:hAnsi="Times-Roman"/>
          <w:snapToGrid w:val="0"/>
        </w:rPr>
      </w:pPr>
      <w:r>
        <w:rPr>
          <w:rFonts w:ascii="Times-Roman" w:hAnsi="Times-Roman"/>
          <w:snapToGrid w:val="0"/>
        </w:rPr>
        <w:t xml:space="preserve">Given the fact that, prior to the investment, the expected value of the returns is only $10 million, it would not make sense to spend the upfront R&amp;D costs. </w:t>
      </w:r>
    </w:p>
    <w:p w:rsidR="00A937EF" w:rsidRDefault="00A937EF" w:rsidP="00A937EF">
      <w:pPr>
        <w:jc w:val="both"/>
        <w:rPr>
          <w:rFonts w:ascii="Times-Roman" w:hAnsi="Times-Roman"/>
          <w:snapToGrid w:val="0"/>
        </w:rPr>
      </w:pPr>
    </w:p>
    <w:tbl>
      <w:tblPr>
        <w:tblW w:w="8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71"/>
        <w:gridCol w:w="2027"/>
        <w:gridCol w:w="900"/>
        <w:gridCol w:w="2386"/>
        <w:gridCol w:w="1772"/>
      </w:tblGrid>
      <w:tr w:rsidR="00A937EF" w:rsidTr="00A937EF">
        <w:tc>
          <w:tcPr>
            <w:tcW w:w="3798" w:type="dxa"/>
            <w:gridSpan w:val="2"/>
          </w:tcPr>
          <w:p w:rsidR="00A937EF" w:rsidRPr="00A937EF" w:rsidRDefault="00A937EF" w:rsidP="00A937EF">
            <w:pPr>
              <w:jc w:val="center"/>
              <w:rPr>
                <w:rFonts w:ascii="Times-Roman" w:hAnsi="Times-Roman"/>
                <w:snapToGrid w:val="0"/>
              </w:rPr>
            </w:pPr>
            <w:r w:rsidRPr="00A937EF">
              <w:rPr>
                <w:rFonts w:ascii="Times-Roman" w:hAnsi="Times-Roman"/>
                <w:snapToGrid w:val="0"/>
              </w:rPr>
              <w:t>Projected Production Costs</w:t>
            </w:r>
          </w:p>
        </w:tc>
        <w:tc>
          <w:tcPr>
            <w:tcW w:w="900" w:type="dxa"/>
          </w:tcPr>
          <w:p w:rsidR="00A937EF" w:rsidRPr="00A937EF" w:rsidRDefault="00A937EF" w:rsidP="00A937EF">
            <w:pPr>
              <w:jc w:val="both"/>
              <w:rPr>
                <w:rFonts w:ascii="Times-Roman" w:hAnsi="Times-Roman"/>
                <w:snapToGrid w:val="0"/>
              </w:rPr>
            </w:pPr>
          </w:p>
        </w:tc>
        <w:tc>
          <w:tcPr>
            <w:tcW w:w="4158" w:type="dxa"/>
            <w:gridSpan w:val="2"/>
          </w:tcPr>
          <w:p w:rsidR="00A937EF" w:rsidRPr="00A937EF" w:rsidRDefault="00A937EF" w:rsidP="00A937EF">
            <w:pPr>
              <w:jc w:val="center"/>
              <w:rPr>
                <w:rFonts w:ascii="Times-Roman" w:hAnsi="Times-Roman"/>
                <w:snapToGrid w:val="0"/>
              </w:rPr>
            </w:pPr>
            <w:r w:rsidRPr="00A937EF">
              <w:rPr>
                <w:rFonts w:ascii="Times-Roman" w:hAnsi="Times-Roman"/>
                <w:snapToGrid w:val="0"/>
              </w:rPr>
              <w:t>Projected Sales Revenues</w:t>
            </w:r>
          </w:p>
        </w:tc>
      </w:tr>
      <w:tr w:rsidR="00A937EF" w:rsidTr="00A937EF">
        <w:tc>
          <w:tcPr>
            <w:tcW w:w="1771" w:type="dxa"/>
          </w:tcPr>
          <w:p w:rsidR="00A937EF" w:rsidRPr="00A937EF" w:rsidRDefault="00A937EF" w:rsidP="00A937EF">
            <w:pPr>
              <w:jc w:val="center"/>
              <w:rPr>
                <w:rFonts w:ascii="Times-Roman" w:hAnsi="Times-Roman"/>
                <w:snapToGrid w:val="0"/>
              </w:rPr>
            </w:pPr>
          </w:p>
        </w:tc>
        <w:tc>
          <w:tcPr>
            <w:tcW w:w="2027" w:type="dxa"/>
          </w:tcPr>
          <w:p w:rsidR="00A937EF" w:rsidRPr="00A937EF" w:rsidRDefault="00A937EF" w:rsidP="00A937EF">
            <w:pPr>
              <w:jc w:val="center"/>
              <w:rPr>
                <w:rFonts w:ascii="Times-Roman" w:hAnsi="Times-Roman"/>
                <w:snapToGrid w:val="0"/>
              </w:rPr>
            </w:pPr>
            <w:r w:rsidRPr="00A937EF">
              <w:rPr>
                <w:rFonts w:ascii="Times-Roman" w:hAnsi="Times-Roman"/>
                <w:snapToGrid w:val="0"/>
              </w:rPr>
              <w:t>Prob.</w:t>
            </w:r>
          </w:p>
        </w:tc>
        <w:tc>
          <w:tcPr>
            <w:tcW w:w="900" w:type="dxa"/>
          </w:tcPr>
          <w:p w:rsidR="00A937EF" w:rsidRPr="00A937EF" w:rsidRDefault="00A937EF" w:rsidP="00A937EF">
            <w:pPr>
              <w:jc w:val="center"/>
              <w:rPr>
                <w:rFonts w:ascii="Times-Roman" w:hAnsi="Times-Roman"/>
                <w:snapToGrid w:val="0"/>
              </w:rPr>
            </w:pPr>
          </w:p>
        </w:tc>
        <w:tc>
          <w:tcPr>
            <w:tcW w:w="2386" w:type="dxa"/>
          </w:tcPr>
          <w:p w:rsidR="00A937EF" w:rsidRPr="00A937EF" w:rsidRDefault="00A937EF" w:rsidP="00A937EF">
            <w:pPr>
              <w:jc w:val="center"/>
              <w:rPr>
                <w:rFonts w:ascii="Times-Roman" w:hAnsi="Times-Roman"/>
                <w:snapToGrid w:val="0"/>
              </w:rPr>
            </w:pPr>
          </w:p>
        </w:tc>
        <w:tc>
          <w:tcPr>
            <w:tcW w:w="1772" w:type="dxa"/>
          </w:tcPr>
          <w:p w:rsidR="00A937EF" w:rsidRPr="00A937EF" w:rsidRDefault="00A937EF" w:rsidP="00A937EF">
            <w:pPr>
              <w:jc w:val="center"/>
              <w:rPr>
                <w:rFonts w:ascii="Times-Roman" w:hAnsi="Times-Roman"/>
                <w:snapToGrid w:val="0"/>
              </w:rPr>
            </w:pPr>
            <w:r w:rsidRPr="00A937EF">
              <w:rPr>
                <w:rFonts w:ascii="Times-Roman" w:hAnsi="Times-Roman"/>
                <w:snapToGrid w:val="0"/>
              </w:rPr>
              <w:t>Prob.</w:t>
            </w:r>
          </w:p>
        </w:tc>
      </w:tr>
      <w:tr w:rsidR="00A937EF" w:rsidTr="00A937EF">
        <w:tc>
          <w:tcPr>
            <w:tcW w:w="1771" w:type="dxa"/>
          </w:tcPr>
          <w:p w:rsidR="00A937EF" w:rsidRPr="00A937EF" w:rsidRDefault="00A937EF" w:rsidP="00A937EF">
            <w:pPr>
              <w:jc w:val="center"/>
              <w:rPr>
                <w:rFonts w:ascii="Times-Roman" w:hAnsi="Times-Roman"/>
                <w:snapToGrid w:val="0"/>
              </w:rPr>
            </w:pPr>
            <w:r w:rsidRPr="00A937EF">
              <w:rPr>
                <w:rFonts w:ascii="Times-Roman" w:hAnsi="Times-Roman"/>
                <w:snapToGrid w:val="0"/>
              </w:rPr>
              <w:t>$40 million</w:t>
            </w:r>
          </w:p>
        </w:tc>
        <w:tc>
          <w:tcPr>
            <w:tcW w:w="2027" w:type="dxa"/>
          </w:tcPr>
          <w:p w:rsidR="00A937EF" w:rsidRPr="00A937EF" w:rsidRDefault="00A937EF" w:rsidP="00A937EF">
            <w:pPr>
              <w:jc w:val="center"/>
              <w:rPr>
                <w:rFonts w:ascii="Times-Roman" w:hAnsi="Times-Roman"/>
                <w:snapToGrid w:val="0"/>
              </w:rPr>
            </w:pPr>
            <w:r w:rsidRPr="00A937EF">
              <w:rPr>
                <w:rFonts w:ascii="Times-Roman" w:hAnsi="Times-Roman"/>
                <w:snapToGrid w:val="0"/>
              </w:rPr>
              <w:t>⅓</w:t>
            </w:r>
          </w:p>
        </w:tc>
        <w:tc>
          <w:tcPr>
            <w:tcW w:w="900" w:type="dxa"/>
          </w:tcPr>
          <w:p w:rsidR="00A937EF" w:rsidRPr="00A937EF" w:rsidRDefault="00A937EF" w:rsidP="00A937EF">
            <w:pPr>
              <w:jc w:val="center"/>
              <w:rPr>
                <w:rFonts w:ascii="Times-Roman" w:hAnsi="Times-Roman"/>
                <w:snapToGrid w:val="0"/>
              </w:rPr>
            </w:pPr>
          </w:p>
        </w:tc>
        <w:tc>
          <w:tcPr>
            <w:tcW w:w="2386" w:type="dxa"/>
          </w:tcPr>
          <w:p w:rsidR="00A937EF" w:rsidRPr="00A937EF" w:rsidRDefault="00A937EF" w:rsidP="00A937EF">
            <w:pPr>
              <w:jc w:val="center"/>
              <w:rPr>
                <w:rFonts w:ascii="Times-Roman" w:hAnsi="Times-Roman"/>
                <w:snapToGrid w:val="0"/>
              </w:rPr>
            </w:pPr>
            <w:r w:rsidRPr="00A937EF">
              <w:rPr>
                <w:rFonts w:ascii="Times-Roman" w:hAnsi="Times-Roman"/>
                <w:snapToGrid w:val="0"/>
              </w:rPr>
              <w:t>$50 million</w:t>
            </w:r>
          </w:p>
        </w:tc>
        <w:tc>
          <w:tcPr>
            <w:tcW w:w="1772" w:type="dxa"/>
          </w:tcPr>
          <w:p w:rsidR="00A937EF" w:rsidRPr="00A937EF" w:rsidRDefault="00A937EF" w:rsidP="00A937EF">
            <w:pPr>
              <w:jc w:val="center"/>
              <w:rPr>
                <w:rFonts w:ascii="Times-Roman" w:hAnsi="Times-Roman"/>
                <w:snapToGrid w:val="0"/>
              </w:rPr>
            </w:pPr>
            <w:r w:rsidRPr="00A937EF">
              <w:rPr>
                <w:rFonts w:ascii="Times-Roman" w:hAnsi="Times-Roman"/>
                <w:snapToGrid w:val="0"/>
              </w:rPr>
              <w:t>½</w:t>
            </w:r>
          </w:p>
        </w:tc>
      </w:tr>
      <w:tr w:rsidR="00A937EF" w:rsidTr="00A937EF">
        <w:tc>
          <w:tcPr>
            <w:tcW w:w="1771" w:type="dxa"/>
          </w:tcPr>
          <w:p w:rsidR="00A937EF" w:rsidRPr="00A937EF" w:rsidRDefault="00A937EF" w:rsidP="00A937EF">
            <w:pPr>
              <w:jc w:val="center"/>
              <w:rPr>
                <w:rFonts w:ascii="Times-Roman" w:hAnsi="Times-Roman"/>
                <w:snapToGrid w:val="0"/>
              </w:rPr>
            </w:pPr>
            <w:r w:rsidRPr="00A937EF">
              <w:rPr>
                <w:rFonts w:ascii="Times-Roman" w:hAnsi="Times-Roman"/>
                <w:snapToGrid w:val="0"/>
              </w:rPr>
              <w:t>$80 million</w:t>
            </w:r>
          </w:p>
        </w:tc>
        <w:tc>
          <w:tcPr>
            <w:tcW w:w="2027" w:type="dxa"/>
          </w:tcPr>
          <w:p w:rsidR="00A937EF" w:rsidRPr="00A937EF" w:rsidRDefault="00A937EF" w:rsidP="00A937EF">
            <w:pPr>
              <w:jc w:val="center"/>
              <w:rPr>
                <w:rFonts w:ascii="Times-Roman" w:hAnsi="Times-Roman"/>
                <w:snapToGrid w:val="0"/>
              </w:rPr>
            </w:pPr>
            <w:r w:rsidRPr="00A937EF">
              <w:rPr>
                <w:rFonts w:ascii="Times-Roman" w:hAnsi="Times-Roman"/>
                <w:snapToGrid w:val="0"/>
              </w:rPr>
              <w:t>⅓</w:t>
            </w:r>
          </w:p>
        </w:tc>
        <w:tc>
          <w:tcPr>
            <w:tcW w:w="900" w:type="dxa"/>
          </w:tcPr>
          <w:p w:rsidR="00A937EF" w:rsidRPr="00A937EF" w:rsidRDefault="00A937EF" w:rsidP="00A937EF">
            <w:pPr>
              <w:jc w:val="center"/>
              <w:rPr>
                <w:rFonts w:ascii="Times-Roman" w:hAnsi="Times-Roman"/>
                <w:snapToGrid w:val="0"/>
              </w:rPr>
            </w:pPr>
          </w:p>
        </w:tc>
        <w:tc>
          <w:tcPr>
            <w:tcW w:w="2386" w:type="dxa"/>
          </w:tcPr>
          <w:p w:rsidR="00A937EF" w:rsidRPr="00A937EF" w:rsidRDefault="00A937EF" w:rsidP="00A937EF">
            <w:pPr>
              <w:jc w:val="center"/>
              <w:rPr>
                <w:rFonts w:ascii="Times-Roman" w:hAnsi="Times-Roman"/>
                <w:snapToGrid w:val="0"/>
              </w:rPr>
            </w:pPr>
            <w:r w:rsidRPr="00A937EF">
              <w:rPr>
                <w:rFonts w:ascii="Times-Roman" w:hAnsi="Times-Roman"/>
                <w:snapToGrid w:val="0"/>
              </w:rPr>
              <w:t>$130 million</w:t>
            </w:r>
          </w:p>
        </w:tc>
        <w:tc>
          <w:tcPr>
            <w:tcW w:w="1772" w:type="dxa"/>
          </w:tcPr>
          <w:p w:rsidR="00A937EF" w:rsidRPr="00A937EF" w:rsidRDefault="00A937EF" w:rsidP="00A937EF">
            <w:pPr>
              <w:jc w:val="center"/>
              <w:rPr>
                <w:rFonts w:ascii="Times-Roman" w:hAnsi="Times-Roman"/>
                <w:snapToGrid w:val="0"/>
              </w:rPr>
            </w:pPr>
            <w:r w:rsidRPr="00A937EF">
              <w:rPr>
                <w:rFonts w:ascii="Times-Roman" w:hAnsi="Times-Roman"/>
                <w:snapToGrid w:val="0"/>
              </w:rPr>
              <w:t>½</w:t>
            </w:r>
          </w:p>
        </w:tc>
      </w:tr>
      <w:tr w:rsidR="00A937EF" w:rsidTr="00A937EF">
        <w:tc>
          <w:tcPr>
            <w:tcW w:w="1771" w:type="dxa"/>
          </w:tcPr>
          <w:p w:rsidR="00A937EF" w:rsidRPr="00A937EF" w:rsidRDefault="00A937EF" w:rsidP="00A937EF">
            <w:pPr>
              <w:jc w:val="center"/>
              <w:rPr>
                <w:rFonts w:ascii="Times-Roman" w:hAnsi="Times-Roman"/>
                <w:snapToGrid w:val="0"/>
              </w:rPr>
            </w:pPr>
            <w:r w:rsidRPr="00A937EF">
              <w:rPr>
                <w:rFonts w:ascii="Times-Roman" w:hAnsi="Times-Roman"/>
                <w:snapToGrid w:val="0"/>
              </w:rPr>
              <w:t>$120 million</w:t>
            </w:r>
          </w:p>
        </w:tc>
        <w:tc>
          <w:tcPr>
            <w:tcW w:w="2027" w:type="dxa"/>
          </w:tcPr>
          <w:p w:rsidR="00A937EF" w:rsidRPr="00A937EF" w:rsidRDefault="00A937EF" w:rsidP="00A937EF">
            <w:pPr>
              <w:jc w:val="center"/>
              <w:rPr>
                <w:rFonts w:ascii="Times-Roman" w:hAnsi="Times-Roman"/>
                <w:snapToGrid w:val="0"/>
              </w:rPr>
            </w:pPr>
            <w:r w:rsidRPr="00A937EF">
              <w:rPr>
                <w:rFonts w:ascii="Times-Roman" w:hAnsi="Times-Roman"/>
                <w:snapToGrid w:val="0"/>
              </w:rPr>
              <w:t>⅓</w:t>
            </w:r>
          </w:p>
        </w:tc>
        <w:tc>
          <w:tcPr>
            <w:tcW w:w="900" w:type="dxa"/>
          </w:tcPr>
          <w:p w:rsidR="00A937EF" w:rsidRPr="00A937EF" w:rsidRDefault="00A937EF" w:rsidP="00A937EF">
            <w:pPr>
              <w:jc w:val="center"/>
              <w:rPr>
                <w:rFonts w:ascii="Times-Roman" w:hAnsi="Times-Roman"/>
                <w:snapToGrid w:val="0"/>
              </w:rPr>
            </w:pPr>
          </w:p>
        </w:tc>
        <w:tc>
          <w:tcPr>
            <w:tcW w:w="2386" w:type="dxa"/>
          </w:tcPr>
          <w:p w:rsidR="00A937EF" w:rsidRPr="00A937EF" w:rsidRDefault="00A937EF" w:rsidP="00A937EF">
            <w:pPr>
              <w:jc w:val="center"/>
              <w:rPr>
                <w:rFonts w:ascii="Times-Roman" w:hAnsi="Times-Roman"/>
                <w:snapToGrid w:val="0"/>
              </w:rPr>
            </w:pPr>
          </w:p>
        </w:tc>
        <w:tc>
          <w:tcPr>
            <w:tcW w:w="1772" w:type="dxa"/>
          </w:tcPr>
          <w:p w:rsidR="00A937EF" w:rsidRPr="00A937EF" w:rsidRDefault="00A937EF" w:rsidP="00A937EF">
            <w:pPr>
              <w:jc w:val="center"/>
              <w:rPr>
                <w:rFonts w:ascii="Times-Roman" w:hAnsi="Times-Roman"/>
                <w:snapToGrid w:val="0"/>
              </w:rPr>
            </w:pPr>
          </w:p>
        </w:tc>
      </w:tr>
      <w:tr w:rsidR="00A937EF" w:rsidTr="00A937EF">
        <w:tc>
          <w:tcPr>
            <w:tcW w:w="3798" w:type="dxa"/>
            <w:gridSpan w:val="2"/>
          </w:tcPr>
          <w:p w:rsidR="00A937EF" w:rsidRPr="00A937EF" w:rsidRDefault="00A937EF" w:rsidP="00A937EF">
            <w:pPr>
              <w:jc w:val="center"/>
              <w:rPr>
                <w:rFonts w:ascii="Times-Roman" w:hAnsi="Times-Roman"/>
                <w:snapToGrid w:val="0"/>
              </w:rPr>
            </w:pPr>
            <w:r w:rsidRPr="00A937EF">
              <w:rPr>
                <w:rFonts w:ascii="Times-Roman" w:hAnsi="Times-Roman"/>
                <w:snapToGrid w:val="0"/>
              </w:rPr>
              <w:t>Exp. Value = $80 million</w:t>
            </w:r>
          </w:p>
        </w:tc>
        <w:tc>
          <w:tcPr>
            <w:tcW w:w="900" w:type="dxa"/>
          </w:tcPr>
          <w:p w:rsidR="00A937EF" w:rsidRPr="00A937EF" w:rsidRDefault="00A937EF" w:rsidP="00A937EF">
            <w:pPr>
              <w:jc w:val="center"/>
              <w:rPr>
                <w:rFonts w:ascii="Times-Roman" w:hAnsi="Times-Roman"/>
                <w:snapToGrid w:val="0"/>
              </w:rPr>
            </w:pPr>
          </w:p>
        </w:tc>
        <w:tc>
          <w:tcPr>
            <w:tcW w:w="4158" w:type="dxa"/>
            <w:gridSpan w:val="2"/>
          </w:tcPr>
          <w:p w:rsidR="00A937EF" w:rsidRPr="00A937EF" w:rsidRDefault="00A937EF" w:rsidP="00A937EF">
            <w:pPr>
              <w:jc w:val="center"/>
              <w:rPr>
                <w:rFonts w:ascii="Times-Roman" w:hAnsi="Times-Roman"/>
                <w:snapToGrid w:val="0"/>
              </w:rPr>
            </w:pPr>
            <w:r w:rsidRPr="00A937EF">
              <w:rPr>
                <w:rFonts w:ascii="Times-Roman" w:hAnsi="Times-Roman"/>
                <w:snapToGrid w:val="0"/>
              </w:rPr>
              <w:t>Exp. Value = $90 million</w:t>
            </w:r>
          </w:p>
        </w:tc>
      </w:tr>
    </w:tbl>
    <w:p w:rsidR="00A937EF" w:rsidRDefault="00A937EF" w:rsidP="00A937EF">
      <w:pPr>
        <w:jc w:val="both"/>
        <w:rPr>
          <w:rFonts w:ascii="Times-Roman" w:hAnsi="Times-Roman"/>
          <w:snapToGrid w:val="0"/>
        </w:rPr>
      </w:pPr>
    </w:p>
    <w:p w:rsidR="00A937EF" w:rsidRDefault="00A937EF" w:rsidP="00A937EF">
      <w:pPr>
        <w:jc w:val="both"/>
        <w:rPr>
          <w:rFonts w:ascii="Times-Roman" w:hAnsi="Times-Roman"/>
          <w:snapToGrid w:val="0"/>
        </w:rPr>
      </w:pPr>
      <w:r>
        <w:rPr>
          <w:rFonts w:ascii="Times-Roman" w:hAnsi="Times-Roman"/>
          <w:snapToGrid w:val="0"/>
        </w:rPr>
        <w:t xml:space="preserve">However, suppose that the R&amp;D also gave the firm information about production costs.  Provided that the firm still held the option not to produce the product once the R&amp;D had been undertaken, the overall expected value of the project increases.  </w:t>
      </w:r>
    </w:p>
    <w:p w:rsidR="00A937EF" w:rsidRDefault="00A937EF" w:rsidP="00A937EF">
      <w:pPr>
        <w:jc w:val="both"/>
        <w:rPr>
          <w:rFonts w:ascii="Times-Roman" w:hAnsi="Times-Roman"/>
          <w:snapToGrid w:val="0"/>
        </w:rPr>
      </w:pPr>
    </w:p>
    <w:p w:rsidR="00A937EF" w:rsidRDefault="00A937EF" w:rsidP="00A937EF">
      <w:pPr>
        <w:jc w:val="both"/>
        <w:rPr>
          <w:rFonts w:ascii="Times-Roman" w:hAnsi="Times-Roman"/>
          <w:snapToGrid w:val="0"/>
        </w:rPr>
      </w:pPr>
      <w:r>
        <w:rPr>
          <w:rFonts w:ascii="Times-Roman" w:hAnsi="Times-Roman"/>
          <w:snapToGrid w:val="0"/>
        </w:rPr>
        <w:t>Now, we can only expect the product to be produced two-thirds of the time – if the R&amp;D reveals $120 million to be the true production cost, it is better to scrap the project and to earn zero.  In the two-thirds of cases where production would occur, the expected production costs would be $60 million and the expected sales revenues would be $90 million.  So, the overall expected return would be $20 million – which is now greater than the $15 million in upfront costs.  Because the initial investment gives the firm valuable information that resolves project uncertainty in a profitable way, it is worth going forward.</w:t>
      </w:r>
    </w:p>
    <w:p w:rsidR="00A937EF" w:rsidRDefault="00A937EF" w:rsidP="00A937EF">
      <w:pPr>
        <w:jc w:val="both"/>
        <w:rPr>
          <w:rFonts w:ascii="Times-Bold" w:hAnsi="Times-Bold"/>
          <w:b/>
          <w:snapToGrid w:val="0"/>
        </w:rPr>
      </w:pPr>
    </w:p>
    <w:p w:rsidR="00A937EF" w:rsidRDefault="00A937EF" w:rsidP="00A937EF">
      <w:pPr>
        <w:numPr>
          <w:ilvl w:val="0"/>
          <w:numId w:val="28"/>
        </w:numPr>
        <w:jc w:val="both"/>
        <w:rPr>
          <w:rFonts w:ascii="Times-Bold" w:hAnsi="Times-Bold"/>
          <w:b/>
          <w:snapToGrid w:val="0"/>
        </w:rPr>
      </w:pPr>
      <w:r>
        <w:rPr>
          <w:rFonts w:ascii="Times-Bold" w:hAnsi="Times-Bold"/>
          <w:b/>
          <w:snapToGrid w:val="0"/>
        </w:rPr>
        <w:t>Options "Created" / Options "Lost"</w:t>
      </w:r>
    </w:p>
    <w:p w:rsidR="00A937EF" w:rsidRDefault="00A937EF" w:rsidP="00A937EF">
      <w:pPr>
        <w:jc w:val="both"/>
        <w:rPr>
          <w:rFonts w:ascii="Times-Roman" w:hAnsi="Times-Roman"/>
          <w:snapToGrid w:val="0"/>
        </w:rPr>
      </w:pPr>
    </w:p>
    <w:p w:rsidR="00A937EF" w:rsidRDefault="00A937EF" w:rsidP="00A937EF">
      <w:pPr>
        <w:jc w:val="both"/>
        <w:rPr>
          <w:rFonts w:ascii="Times-Roman" w:hAnsi="Times-Roman"/>
          <w:snapToGrid w:val="0"/>
        </w:rPr>
      </w:pPr>
      <w:r>
        <w:rPr>
          <w:rFonts w:ascii="Times-Roman" w:hAnsi="Times-Roman"/>
          <w:snapToGrid w:val="0"/>
        </w:rPr>
        <w:t>Finally, we can think of some quick-and-dirty numerical examples to illustrate how the traditional NPV framework may be misleading in cases where doing one investment either opens or closes options to do other investments. Here's a brief look:</w:t>
      </w:r>
    </w:p>
    <w:p w:rsidR="00A937EF" w:rsidRDefault="00A937EF" w:rsidP="00A937EF">
      <w:pPr>
        <w:jc w:val="both"/>
        <w:rPr>
          <w:rFonts w:ascii="Times-Roman" w:hAnsi="Times-Roman"/>
          <w:snapToGrid w:val="0"/>
        </w:rPr>
      </w:pPr>
    </w:p>
    <w:p w:rsidR="00A937EF" w:rsidRDefault="00A937EF" w:rsidP="00A937EF">
      <w:pPr>
        <w:numPr>
          <w:ilvl w:val="0"/>
          <w:numId w:val="29"/>
        </w:numPr>
        <w:jc w:val="both"/>
        <w:rPr>
          <w:rFonts w:ascii="Times-Roman" w:hAnsi="Times-Roman"/>
          <w:snapToGrid w:val="0"/>
        </w:rPr>
      </w:pPr>
      <w:r>
        <w:rPr>
          <w:rFonts w:ascii="Times-Roman" w:hAnsi="Times-Roman"/>
          <w:snapToGrid w:val="0"/>
        </w:rPr>
        <w:t xml:space="preserve">For example, suppose Investment A has an NPV of -$10. A second opportunity, Investment B, has an NPV of $20 if Investment A has been made already, but only $5 if Investment A has not been made. Even though Investment A is negative NPV by itself, it should be done because of its impact on the NPV of Investment B.  This sort of effect is not difficult to imagine — suppose experience gained in operating your country's office in </w:t>
      </w:r>
      <w:smartTag w:uri="urn:schemas-microsoft-com:office:smarttags" w:element="place">
        <w:smartTag w:uri="urn:schemas-microsoft-com:office:smarttags" w:element="country-region">
          <w:r>
            <w:rPr>
              <w:rFonts w:ascii="Times-Roman" w:hAnsi="Times-Roman"/>
              <w:snapToGrid w:val="0"/>
            </w:rPr>
            <w:t>France</w:t>
          </w:r>
        </w:smartTag>
      </w:smartTag>
      <w:r>
        <w:rPr>
          <w:rFonts w:ascii="Times-Roman" w:hAnsi="Times-Roman"/>
          <w:snapToGrid w:val="0"/>
        </w:rPr>
        <w:t xml:space="preserve"> increased the NPV associated with later opportunities in other European countries.</w:t>
      </w:r>
    </w:p>
    <w:p w:rsidR="00A937EF" w:rsidRDefault="00A937EF" w:rsidP="00A937EF">
      <w:pPr>
        <w:jc w:val="both"/>
        <w:rPr>
          <w:rFonts w:ascii="Times-Roman" w:hAnsi="Times-Roman"/>
          <w:snapToGrid w:val="0"/>
        </w:rPr>
      </w:pPr>
    </w:p>
    <w:p w:rsidR="00A937EF" w:rsidRDefault="00A937EF" w:rsidP="00A937EF">
      <w:pPr>
        <w:numPr>
          <w:ilvl w:val="0"/>
          <w:numId w:val="30"/>
        </w:numPr>
        <w:jc w:val="both"/>
        <w:rPr>
          <w:rFonts w:ascii="Times-Roman" w:hAnsi="Times-Roman"/>
          <w:snapToGrid w:val="0"/>
        </w:rPr>
      </w:pPr>
      <w:r>
        <w:rPr>
          <w:rFonts w:ascii="Times-Roman" w:hAnsi="Times-Roman"/>
          <w:snapToGrid w:val="0"/>
        </w:rPr>
        <w:t xml:space="preserve">If the amount of investment a firm can do is somehow constrained, the firm must carefully assess which opportunities to do. Now the manager is concerned with choosing the projects with the </w:t>
      </w:r>
      <w:r>
        <w:rPr>
          <w:rFonts w:ascii="Times-Bold" w:hAnsi="Times-Bold"/>
          <w:b/>
          <w:snapToGrid w:val="0"/>
        </w:rPr>
        <w:t xml:space="preserve">highest </w:t>
      </w:r>
      <w:r>
        <w:rPr>
          <w:rFonts w:ascii="Times-Roman" w:hAnsi="Times-Roman"/>
          <w:snapToGrid w:val="0"/>
        </w:rPr>
        <w:t>NPV, not just ones with positive NPV. Since pursuing some options may close out others, firms want to make sure the investments they select attain the highest overall NPV possible. Consider a firm constrained to spending no more than $100 million in upfront costs on investments and presented with the following opportunities:</w:t>
      </w:r>
    </w:p>
    <w:p w:rsidR="00A937EF" w:rsidRDefault="00A937EF" w:rsidP="00A937EF">
      <w:pPr>
        <w:jc w:val="both"/>
        <w:rPr>
          <w:rFonts w:ascii="Times-Roman" w:hAnsi="Times-Roman"/>
          <w:snapToGrid w:val="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0"/>
        <w:gridCol w:w="3060"/>
      </w:tblGrid>
      <w:tr w:rsidR="00A937EF" w:rsidTr="003D6842">
        <w:trPr>
          <w:cantSplit/>
          <w:trHeight w:val="315"/>
          <w:jc w:val="center"/>
        </w:trPr>
        <w:tc>
          <w:tcPr>
            <w:tcW w:w="2970" w:type="dxa"/>
          </w:tcPr>
          <w:p w:rsidR="00A937EF" w:rsidRDefault="00A937EF" w:rsidP="003D6842">
            <w:pPr>
              <w:jc w:val="center"/>
              <w:rPr>
                <w:rFonts w:ascii="Times-Roman" w:hAnsi="Times-Roman"/>
                <w:snapToGrid w:val="0"/>
              </w:rPr>
            </w:pPr>
            <w:r>
              <w:rPr>
                <w:rFonts w:ascii="Times-Roman" w:hAnsi="Times-Roman"/>
                <w:snapToGrid w:val="0"/>
              </w:rPr>
              <w:t>Upfront Costs</w:t>
            </w:r>
          </w:p>
        </w:tc>
        <w:tc>
          <w:tcPr>
            <w:tcW w:w="3060" w:type="dxa"/>
          </w:tcPr>
          <w:p w:rsidR="00A937EF" w:rsidRDefault="00A937EF" w:rsidP="003D6842">
            <w:pPr>
              <w:jc w:val="center"/>
              <w:rPr>
                <w:rFonts w:ascii="Times-Roman" w:hAnsi="Times-Roman"/>
                <w:snapToGrid w:val="0"/>
              </w:rPr>
            </w:pPr>
            <w:r>
              <w:rPr>
                <w:rFonts w:ascii="Times-Roman" w:hAnsi="Times-Roman"/>
                <w:snapToGrid w:val="0"/>
              </w:rPr>
              <w:t>NPV</w:t>
            </w:r>
          </w:p>
        </w:tc>
      </w:tr>
      <w:tr w:rsidR="00A937EF" w:rsidTr="003D6842">
        <w:trPr>
          <w:cantSplit/>
          <w:trHeight w:val="315"/>
          <w:jc w:val="center"/>
        </w:trPr>
        <w:tc>
          <w:tcPr>
            <w:tcW w:w="2970" w:type="dxa"/>
          </w:tcPr>
          <w:p w:rsidR="00A937EF" w:rsidRDefault="00A937EF" w:rsidP="003D6842">
            <w:pPr>
              <w:jc w:val="center"/>
              <w:rPr>
                <w:rFonts w:ascii="Times-Roman" w:hAnsi="Times-Roman"/>
                <w:snapToGrid w:val="0"/>
              </w:rPr>
            </w:pPr>
            <w:r>
              <w:rPr>
                <w:rFonts w:ascii="Times-Roman" w:hAnsi="Times-Roman"/>
                <w:snapToGrid w:val="0"/>
              </w:rPr>
              <w:t>$70 million</w:t>
            </w:r>
          </w:p>
        </w:tc>
        <w:tc>
          <w:tcPr>
            <w:tcW w:w="3060" w:type="dxa"/>
          </w:tcPr>
          <w:p w:rsidR="00A937EF" w:rsidRDefault="00A937EF" w:rsidP="003D6842">
            <w:pPr>
              <w:jc w:val="center"/>
              <w:rPr>
                <w:rFonts w:ascii="Times-Roman" w:hAnsi="Times-Roman"/>
                <w:snapToGrid w:val="0"/>
              </w:rPr>
            </w:pPr>
            <w:r>
              <w:rPr>
                <w:rFonts w:ascii="Times-Roman" w:hAnsi="Times-Roman"/>
                <w:snapToGrid w:val="0"/>
              </w:rPr>
              <w:t>$50 million</w:t>
            </w:r>
          </w:p>
        </w:tc>
      </w:tr>
      <w:tr w:rsidR="00A937EF" w:rsidTr="003D6842">
        <w:trPr>
          <w:cantSplit/>
          <w:trHeight w:val="315"/>
          <w:jc w:val="center"/>
        </w:trPr>
        <w:tc>
          <w:tcPr>
            <w:tcW w:w="2970" w:type="dxa"/>
          </w:tcPr>
          <w:p w:rsidR="00A937EF" w:rsidRDefault="00A937EF" w:rsidP="003D6842">
            <w:pPr>
              <w:jc w:val="center"/>
              <w:rPr>
                <w:rFonts w:ascii="Times-Roman" w:hAnsi="Times-Roman"/>
                <w:snapToGrid w:val="0"/>
              </w:rPr>
            </w:pPr>
            <w:r>
              <w:rPr>
                <w:rFonts w:ascii="Times-Roman" w:hAnsi="Times-Roman"/>
                <w:snapToGrid w:val="0"/>
              </w:rPr>
              <w:t>$50 million</w:t>
            </w:r>
          </w:p>
        </w:tc>
        <w:tc>
          <w:tcPr>
            <w:tcW w:w="3060" w:type="dxa"/>
          </w:tcPr>
          <w:p w:rsidR="00A937EF" w:rsidRDefault="00A937EF" w:rsidP="003D6842">
            <w:pPr>
              <w:jc w:val="center"/>
              <w:rPr>
                <w:rFonts w:ascii="Times-Roman" w:hAnsi="Times-Roman"/>
                <w:snapToGrid w:val="0"/>
              </w:rPr>
            </w:pPr>
            <w:r>
              <w:rPr>
                <w:rFonts w:ascii="Times-Roman" w:hAnsi="Times-Roman"/>
                <w:snapToGrid w:val="0"/>
              </w:rPr>
              <w:t>$30 million</w:t>
            </w:r>
          </w:p>
        </w:tc>
      </w:tr>
      <w:tr w:rsidR="00A937EF" w:rsidTr="003D6842">
        <w:trPr>
          <w:cantSplit/>
          <w:trHeight w:val="315"/>
          <w:jc w:val="center"/>
        </w:trPr>
        <w:tc>
          <w:tcPr>
            <w:tcW w:w="2970" w:type="dxa"/>
            <w:tcBorders>
              <w:bottom w:val="single" w:sz="4" w:space="0" w:color="auto"/>
            </w:tcBorders>
          </w:tcPr>
          <w:p w:rsidR="00A937EF" w:rsidRDefault="00A937EF" w:rsidP="003D6842">
            <w:pPr>
              <w:jc w:val="center"/>
              <w:rPr>
                <w:rFonts w:ascii="Times-Roman" w:hAnsi="Times-Roman"/>
                <w:snapToGrid w:val="0"/>
              </w:rPr>
            </w:pPr>
            <w:r>
              <w:rPr>
                <w:rFonts w:ascii="Times-Roman" w:hAnsi="Times-Roman"/>
                <w:snapToGrid w:val="0"/>
              </w:rPr>
              <w:t>$40 million</w:t>
            </w:r>
          </w:p>
        </w:tc>
        <w:tc>
          <w:tcPr>
            <w:tcW w:w="3060" w:type="dxa"/>
            <w:tcBorders>
              <w:bottom w:val="single" w:sz="4" w:space="0" w:color="auto"/>
            </w:tcBorders>
          </w:tcPr>
          <w:p w:rsidR="00A937EF" w:rsidRDefault="00A937EF" w:rsidP="003D6842">
            <w:pPr>
              <w:jc w:val="center"/>
              <w:rPr>
                <w:rFonts w:ascii="Times-Roman" w:hAnsi="Times-Roman"/>
                <w:snapToGrid w:val="0"/>
              </w:rPr>
            </w:pPr>
            <w:r>
              <w:rPr>
                <w:rFonts w:ascii="Times-Roman" w:hAnsi="Times-Roman"/>
                <w:snapToGrid w:val="0"/>
              </w:rPr>
              <w:t>$15 million</w:t>
            </w:r>
          </w:p>
        </w:tc>
      </w:tr>
    </w:tbl>
    <w:p w:rsidR="00A937EF" w:rsidRDefault="00A937EF" w:rsidP="00A937EF">
      <w:pPr>
        <w:jc w:val="both"/>
        <w:rPr>
          <w:rFonts w:ascii="Times-Roman" w:hAnsi="Times-Roman"/>
          <w:snapToGrid w:val="0"/>
        </w:rPr>
      </w:pPr>
    </w:p>
    <w:p w:rsidR="00A937EF" w:rsidRDefault="00A937EF" w:rsidP="00A937EF">
      <w:pPr>
        <w:rPr>
          <w:rFonts w:ascii="Times-Roman" w:hAnsi="Times-Roman"/>
          <w:snapToGrid w:val="0"/>
        </w:rPr>
      </w:pPr>
    </w:p>
    <w:p w:rsidR="00A937EF" w:rsidRDefault="00A937EF" w:rsidP="00A937EF">
      <w:pPr>
        <w:rPr>
          <w:rFonts w:ascii="Times-Roman" w:hAnsi="Times-Roman"/>
          <w:snapToGrid w:val="0"/>
        </w:rPr>
      </w:pPr>
      <w:r>
        <w:rPr>
          <w:rFonts w:ascii="Times-Roman" w:hAnsi="Times-Roman"/>
          <w:snapToGrid w:val="0"/>
        </w:rPr>
        <w:t>In this case, the $70 million project is the best option, since it has the highest NPV. But consider the case when the numbers are slightly different:</w:t>
      </w:r>
    </w:p>
    <w:p w:rsidR="00A937EF" w:rsidRDefault="00A937EF" w:rsidP="00A937EF">
      <w:pPr>
        <w:rPr>
          <w:rFonts w:ascii="Times-Roman" w:hAnsi="Times-Roman"/>
          <w:snapToGrid w:val="0"/>
        </w:rPr>
      </w:pPr>
    </w:p>
    <w:p w:rsidR="00A937EF" w:rsidRDefault="00A937EF" w:rsidP="00A937EF">
      <w:pPr>
        <w:rPr>
          <w:rFonts w:ascii="Times-Roman" w:hAnsi="Times-Roman"/>
          <w:snapToGrid w:val="0"/>
        </w:rPr>
      </w:pP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0"/>
        <w:gridCol w:w="3060"/>
      </w:tblGrid>
      <w:tr w:rsidR="00A937EF" w:rsidTr="003D6842">
        <w:trPr>
          <w:cantSplit/>
          <w:trHeight w:val="285"/>
        </w:trPr>
        <w:tc>
          <w:tcPr>
            <w:tcW w:w="2970" w:type="dxa"/>
          </w:tcPr>
          <w:p w:rsidR="00A937EF" w:rsidRDefault="00A937EF" w:rsidP="003D6842">
            <w:pPr>
              <w:jc w:val="center"/>
              <w:rPr>
                <w:rFonts w:ascii="Times-Roman" w:hAnsi="Times-Roman"/>
                <w:snapToGrid w:val="0"/>
              </w:rPr>
            </w:pPr>
            <w:r>
              <w:rPr>
                <w:rFonts w:ascii="Times-Roman" w:hAnsi="Times-Roman"/>
                <w:snapToGrid w:val="0"/>
              </w:rPr>
              <w:t>Upfront Costs</w:t>
            </w:r>
          </w:p>
        </w:tc>
        <w:tc>
          <w:tcPr>
            <w:tcW w:w="3060" w:type="dxa"/>
          </w:tcPr>
          <w:p w:rsidR="00A937EF" w:rsidRDefault="00A937EF" w:rsidP="003D6842">
            <w:pPr>
              <w:jc w:val="center"/>
              <w:rPr>
                <w:rFonts w:ascii="Times-Roman" w:hAnsi="Times-Roman"/>
                <w:snapToGrid w:val="0"/>
              </w:rPr>
            </w:pPr>
            <w:r>
              <w:rPr>
                <w:rFonts w:ascii="Times-Roman" w:hAnsi="Times-Roman"/>
                <w:snapToGrid w:val="0"/>
              </w:rPr>
              <w:t>NPV</w:t>
            </w:r>
          </w:p>
        </w:tc>
      </w:tr>
      <w:tr w:rsidR="00A937EF" w:rsidTr="003D6842">
        <w:trPr>
          <w:cantSplit/>
          <w:trHeight w:val="285"/>
        </w:trPr>
        <w:tc>
          <w:tcPr>
            <w:tcW w:w="2970" w:type="dxa"/>
          </w:tcPr>
          <w:p w:rsidR="00A937EF" w:rsidRDefault="00A937EF" w:rsidP="003D6842">
            <w:pPr>
              <w:jc w:val="center"/>
              <w:rPr>
                <w:rFonts w:ascii="Times-Roman" w:hAnsi="Times-Roman"/>
                <w:snapToGrid w:val="0"/>
              </w:rPr>
            </w:pPr>
            <w:r>
              <w:rPr>
                <w:rFonts w:ascii="Times-Roman" w:hAnsi="Times-Roman"/>
                <w:snapToGrid w:val="0"/>
              </w:rPr>
              <w:t>$70 million</w:t>
            </w:r>
          </w:p>
        </w:tc>
        <w:tc>
          <w:tcPr>
            <w:tcW w:w="3060" w:type="dxa"/>
          </w:tcPr>
          <w:p w:rsidR="00A937EF" w:rsidRDefault="00A937EF" w:rsidP="003D6842">
            <w:pPr>
              <w:jc w:val="center"/>
              <w:rPr>
                <w:rFonts w:ascii="Times-Roman" w:hAnsi="Times-Roman"/>
                <w:snapToGrid w:val="0"/>
              </w:rPr>
            </w:pPr>
            <w:r>
              <w:rPr>
                <w:rFonts w:ascii="Times-Roman" w:hAnsi="Times-Roman"/>
                <w:snapToGrid w:val="0"/>
              </w:rPr>
              <w:t>$50 million</w:t>
            </w:r>
          </w:p>
        </w:tc>
      </w:tr>
      <w:tr w:rsidR="00A937EF" w:rsidTr="003D6842">
        <w:trPr>
          <w:cantSplit/>
          <w:trHeight w:val="285"/>
        </w:trPr>
        <w:tc>
          <w:tcPr>
            <w:tcW w:w="2970" w:type="dxa"/>
          </w:tcPr>
          <w:p w:rsidR="00A937EF" w:rsidRDefault="00A937EF" w:rsidP="003D6842">
            <w:pPr>
              <w:jc w:val="center"/>
              <w:rPr>
                <w:rFonts w:ascii="Times-Roman" w:hAnsi="Times-Roman"/>
                <w:snapToGrid w:val="0"/>
              </w:rPr>
            </w:pPr>
            <w:r>
              <w:rPr>
                <w:rFonts w:ascii="Times-Roman" w:hAnsi="Times-Roman"/>
                <w:snapToGrid w:val="0"/>
              </w:rPr>
              <w:t>$50 million</w:t>
            </w:r>
          </w:p>
        </w:tc>
        <w:tc>
          <w:tcPr>
            <w:tcW w:w="3060" w:type="dxa"/>
          </w:tcPr>
          <w:p w:rsidR="00A937EF" w:rsidRDefault="00A937EF" w:rsidP="003D6842">
            <w:pPr>
              <w:jc w:val="center"/>
              <w:rPr>
                <w:rFonts w:ascii="Times-Roman" w:hAnsi="Times-Roman"/>
                <w:snapToGrid w:val="0"/>
              </w:rPr>
            </w:pPr>
            <w:r>
              <w:rPr>
                <w:rFonts w:ascii="Times-Roman" w:hAnsi="Times-Roman"/>
                <w:snapToGrid w:val="0"/>
              </w:rPr>
              <w:t>$35 million</w:t>
            </w:r>
          </w:p>
        </w:tc>
      </w:tr>
      <w:tr w:rsidR="00A937EF" w:rsidTr="003D6842">
        <w:trPr>
          <w:cantSplit/>
          <w:trHeight w:val="285"/>
        </w:trPr>
        <w:tc>
          <w:tcPr>
            <w:tcW w:w="2970" w:type="dxa"/>
            <w:tcBorders>
              <w:bottom w:val="single" w:sz="4" w:space="0" w:color="auto"/>
            </w:tcBorders>
          </w:tcPr>
          <w:p w:rsidR="00A937EF" w:rsidRDefault="00A937EF" w:rsidP="003D6842">
            <w:pPr>
              <w:jc w:val="center"/>
              <w:rPr>
                <w:rFonts w:ascii="Times-Roman" w:hAnsi="Times-Roman"/>
                <w:snapToGrid w:val="0"/>
              </w:rPr>
            </w:pPr>
            <w:r>
              <w:rPr>
                <w:rFonts w:ascii="Times-Roman" w:hAnsi="Times-Roman"/>
                <w:snapToGrid w:val="0"/>
              </w:rPr>
              <w:t>$40 million</w:t>
            </w:r>
          </w:p>
        </w:tc>
        <w:tc>
          <w:tcPr>
            <w:tcW w:w="3060" w:type="dxa"/>
            <w:tcBorders>
              <w:bottom w:val="single" w:sz="4" w:space="0" w:color="auto"/>
            </w:tcBorders>
          </w:tcPr>
          <w:p w:rsidR="00A937EF" w:rsidRDefault="00A937EF" w:rsidP="003D6842">
            <w:pPr>
              <w:jc w:val="center"/>
              <w:rPr>
                <w:rFonts w:ascii="Times-Roman" w:hAnsi="Times-Roman"/>
                <w:snapToGrid w:val="0"/>
              </w:rPr>
            </w:pPr>
            <w:r>
              <w:rPr>
                <w:rFonts w:ascii="Times-Roman" w:hAnsi="Times-Roman"/>
                <w:snapToGrid w:val="0"/>
              </w:rPr>
              <w:t>$20 million</w:t>
            </w:r>
          </w:p>
        </w:tc>
      </w:tr>
    </w:tbl>
    <w:p w:rsidR="00A937EF" w:rsidRDefault="00A937EF" w:rsidP="00A937EF">
      <w:pPr>
        <w:jc w:val="both"/>
        <w:rPr>
          <w:rFonts w:ascii="Times-Roman" w:hAnsi="Times-Roman"/>
          <w:snapToGrid w:val="0"/>
        </w:rPr>
      </w:pPr>
    </w:p>
    <w:p w:rsidR="00A937EF" w:rsidRDefault="00A937EF" w:rsidP="00A937EF">
      <w:pPr>
        <w:jc w:val="both"/>
        <w:rPr>
          <w:rFonts w:ascii="Times-Roman" w:hAnsi="Times-Roman"/>
          <w:snapToGrid w:val="0"/>
        </w:rPr>
      </w:pPr>
    </w:p>
    <w:p w:rsidR="00A937EF" w:rsidRDefault="00A937EF" w:rsidP="00A937EF">
      <w:pPr>
        <w:jc w:val="both"/>
        <w:rPr>
          <w:rFonts w:ascii="Times-Roman" w:hAnsi="Times-Roman"/>
          <w:snapToGrid w:val="0"/>
        </w:rPr>
      </w:pPr>
      <w:r>
        <w:rPr>
          <w:rFonts w:ascii="Times-Roman" w:hAnsi="Times-Roman"/>
          <w:snapToGrid w:val="0"/>
        </w:rPr>
        <w:t xml:space="preserve">Now, even though the first project returns the highest NPV, it should be passed over. If $70 million is spent, the option of doing either of the other two projects is closed. On the other hand, doing either of the smaller projects leaves </w:t>
      </w:r>
      <w:r>
        <w:rPr>
          <w:rFonts w:ascii="Times-Bold" w:hAnsi="Times-Bold"/>
          <w:b/>
          <w:snapToGrid w:val="0"/>
        </w:rPr>
        <w:t xml:space="preserve">open </w:t>
      </w:r>
      <w:r>
        <w:rPr>
          <w:rFonts w:ascii="Times-Roman" w:hAnsi="Times-Roman"/>
          <w:snapToGrid w:val="0"/>
        </w:rPr>
        <w:t>the option to do the other one. This creates a higher overall NPV for the firm.</w:t>
      </w:r>
    </w:p>
    <w:p w:rsidR="00A937EF" w:rsidRDefault="00A937EF" w:rsidP="00A937EF">
      <w:pPr>
        <w:jc w:val="both"/>
        <w:rPr>
          <w:rFonts w:ascii="Times-Roman" w:hAnsi="Times-Roman"/>
          <w:snapToGrid w:val="0"/>
        </w:rPr>
      </w:pPr>
    </w:p>
    <w:p w:rsidR="00A937EF" w:rsidRDefault="00A937EF" w:rsidP="00A937EF">
      <w:pPr>
        <w:ind w:left="360"/>
        <w:jc w:val="both"/>
        <w:rPr>
          <w:snapToGrid w:val="0"/>
        </w:rPr>
      </w:pPr>
    </w:p>
    <w:sectPr w:rsidR="00A937EF" w:rsidSect="00241725">
      <w:headerReference w:type="default" r:id="rId9"/>
      <w:footerReference w:type="even" r:id="rId10"/>
      <w:footerReference w:type="default" r:id="rId11"/>
      <w:pgSz w:w="12240" w:h="15840"/>
      <w:pgMar w:top="1440" w:right="1800" w:bottom="1440" w:left="180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4E96" w:rsidRDefault="006D4E96">
      <w:r>
        <w:separator/>
      </w:r>
    </w:p>
  </w:endnote>
  <w:endnote w:type="continuationSeparator" w:id="1">
    <w:p w:rsidR="006D4E96" w:rsidRDefault="006D4E9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Times-Roman">
    <w:panose1 w:val="00000000000000000000"/>
    <w:charset w:val="00"/>
    <w:family w:val="roman"/>
    <w:notTrueType/>
    <w:pitch w:val="default"/>
    <w:sig w:usb0="00000003" w:usb1="00000000" w:usb2="00000000" w:usb3="00000000" w:csb0="00000001" w:csb1="00000000"/>
  </w:font>
  <w:font w:name="Times-Bold">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3E6A" w:rsidRDefault="00241725">
    <w:pPr>
      <w:pStyle w:val="Footer"/>
      <w:framePr w:wrap="around" w:vAnchor="text" w:hAnchor="margin" w:xAlign="center" w:y="1"/>
      <w:rPr>
        <w:rStyle w:val="PageNumber"/>
      </w:rPr>
    </w:pPr>
    <w:r>
      <w:rPr>
        <w:rStyle w:val="PageNumber"/>
      </w:rPr>
      <w:fldChar w:fldCharType="begin"/>
    </w:r>
    <w:r w:rsidR="00023E6A">
      <w:rPr>
        <w:rStyle w:val="PageNumber"/>
      </w:rPr>
      <w:instrText xml:space="preserve">PAGE  </w:instrText>
    </w:r>
    <w:r>
      <w:rPr>
        <w:rStyle w:val="PageNumber"/>
      </w:rPr>
      <w:fldChar w:fldCharType="separate"/>
    </w:r>
    <w:r w:rsidR="00023E6A">
      <w:rPr>
        <w:rStyle w:val="PageNumber"/>
        <w:noProof/>
      </w:rPr>
      <w:t>1</w:t>
    </w:r>
    <w:r>
      <w:rPr>
        <w:rStyle w:val="PageNumber"/>
      </w:rPr>
      <w:fldChar w:fldCharType="end"/>
    </w:r>
  </w:p>
  <w:p w:rsidR="00023E6A" w:rsidRDefault="00023E6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3E6A" w:rsidRDefault="00241725">
    <w:pPr>
      <w:pStyle w:val="Footer"/>
      <w:framePr w:wrap="around" w:vAnchor="text" w:hAnchor="margin" w:xAlign="center" w:y="1"/>
      <w:rPr>
        <w:rStyle w:val="PageNumber"/>
      </w:rPr>
    </w:pPr>
    <w:r>
      <w:rPr>
        <w:rStyle w:val="PageNumber"/>
      </w:rPr>
      <w:fldChar w:fldCharType="begin"/>
    </w:r>
    <w:r w:rsidR="00023E6A">
      <w:rPr>
        <w:rStyle w:val="PageNumber"/>
      </w:rPr>
      <w:instrText xml:space="preserve">PAGE  </w:instrText>
    </w:r>
    <w:r>
      <w:rPr>
        <w:rStyle w:val="PageNumber"/>
      </w:rPr>
      <w:fldChar w:fldCharType="separate"/>
    </w:r>
    <w:r w:rsidR="003165D6">
      <w:rPr>
        <w:rStyle w:val="PageNumber"/>
        <w:noProof/>
      </w:rPr>
      <w:t>1</w:t>
    </w:r>
    <w:r>
      <w:rPr>
        <w:rStyle w:val="PageNumber"/>
      </w:rPr>
      <w:fldChar w:fldCharType="end"/>
    </w:r>
  </w:p>
  <w:p w:rsidR="00023E6A" w:rsidRDefault="00023E6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4E96" w:rsidRDefault="006D4E96">
      <w:r>
        <w:separator/>
      </w:r>
    </w:p>
  </w:footnote>
  <w:footnote w:type="continuationSeparator" w:id="1">
    <w:p w:rsidR="006D4E96" w:rsidRDefault="006D4E96">
      <w:r>
        <w:continuationSeparator/>
      </w:r>
    </w:p>
  </w:footnote>
  <w:footnote w:id="2">
    <w:p w:rsidR="00EE6581" w:rsidRDefault="00EE6581" w:rsidP="00EE6581">
      <w:pPr>
        <w:pStyle w:val="FootnoteText"/>
        <w:jc w:val="both"/>
      </w:pPr>
      <w:r>
        <w:rPr>
          <w:rStyle w:val="FootnoteReference"/>
        </w:rPr>
        <w:footnoteRef/>
      </w:r>
      <w:r>
        <w:t xml:space="preserve"> Or, it may be that many of the business contacts Fred had cultivated as CEO of Firm X are not potential clients of Firm Y, given Firm Y's expertise.  There really are a variety of potential scenarios...</w:t>
      </w:r>
    </w:p>
  </w:footnote>
  <w:footnote w:id="3">
    <w:p w:rsidR="00080F67" w:rsidRDefault="00080F67" w:rsidP="00080F67">
      <w:pPr>
        <w:pStyle w:val="FootnoteText"/>
        <w:jc w:val="both"/>
      </w:pPr>
      <w:r>
        <w:rPr>
          <w:rStyle w:val="FootnoteReference"/>
        </w:rPr>
        <w:footnoteRef/>
      </w:r>
      <w:r>
        <w:t xml:space="preserve"> There are also credence goods, for which quality cannot be assessed, even after purchase (e.g., long-term financial planning advice).  For such products, reputation is even more important than it is for experience goods.</w:t>
      </w:r>
    </w:p>
  </w:footnote>
  <w:footnote w:id="4">
    <w:p w:rsidR="00A937EF" w:rsidRPr="0009237E" w:rsidRDefault="00A937EF" w:rsidP="00A937EF">
      <w:pPr>
        <w:jc w:val="both"/>
        <w:rPr>
          <w:snapToGrid w:val="0"/>
          <w:sz w:val="18"/>
          <w:szCs w:val="18"/>
        </w:rPr>
      </w:pPr>
      <w:r w:rsidRPr="0009237E">
        <w:rPr>
          <w:rStyle w:val="FootnoteReference"/>
          <w:sz w:val="18"/>
          <w:szCs w:val="18"/>
        </w:rPr>
        <w:footnoteRef/>
      </w:r>
      <w:r w:rsidRPr="0009237E">
        <w:rPr>
          <w:sz w:val="18"/>
          <w:szCs w:val="18"/>
        </w:rPr>
        <w:t xml:space="preserve"> </w:t>
      </w:r>
      <w:r w:rsidRPr="0009237E">
        <w:rPr>
          <w:snapToGrid w:val="0"/>
          <w:sz w:val="18"/>
          <w:szCs w:val="18"/>
        </w:rPr>
        <w:t xml:space="preserve">Options have value to the extent that the potential activity would generate profits and that others do not own the same option. Options are bought and sold all the time, but because they are as-yet-unrealized opportunities, trading </w:t>
      </w:r>
      <w:r>
        <w:rPr>
          <w:snapToGrid w:val="0"/>
          <w:sz w:val="18"/>
          <w:szCs w:val="18"/>
        </w:rPr>
        <w:t xml:space="preserve">options </w:t>
      </w:r>
      <w:r w:rsidRPr="0009237E">
        <w:rPr>
          <w:snapToGrid w:val="0"/>
          <w:sz w:val="18"/>
          <w:szCs w:val="18"/>
        </w:rPr>
        <w:t xml:space="preserve">is inherently risky. </w:t>
      </w:r>
      <w:r>
        <w:rPr>
          <w:snapToGrid w:val="0"/>
          <w:sz w:val="18"/>
          <w:szCs w:val="18"/>
        </w:rPr>
        <w:t>Note that this is the simplest, most general concept of options (simple enough for your average strategy professor to understand!) — I am sure that y</w:t>
      </w:r>
      <w:r w:rsidRPr="0009237E">
        <w:rPr>
          <w:snapToGrid w:val="0"/>
          <w:sz w:val="18"/>
          <w:szCs w:val="18"/>
        </w:rPr>
        <w:t xml:space="preserve">ou will </w:t>
      </w:r>
      <w:r>
        <w:rPr>
          <w:snapToGrid w:val="0"/>
          <w:sz w:val="18"/>
          <w:szCs w:val="18"/>
        </w:rPr>
        <w:t xml:space="preserve">have </w:t>
      </w:r>
      <w:r w:rsidRPr="0009237E">
        <w:rPr>
          <w:snapToGrid w:val="0"/>
          <w:sz w:val="18"/>
          <w:szCs w:val="18"/>
        </w:rPr>
        <w:t>learn</w:t>
      </w:r>
      <w:r>
        <w:rPr>
          <w:snapToGrid w:val="0"/>
          <w:sz w:val="18"/>
          <w:szCs w:val="18"/>
        </w:rPr>
        <w:t>ed</w:t>
      </w:r>
      <w:r w:rsidRPr="0009237E">
        <w:rPr>
          <w:snapToGrid w:val="0"/>
          <w:sz w:val="18"/>
          <w:szCs w:val="18"/>
        </w:rPr>
        <w:t xml:space="preserve"> MUCH more in finance.</w:t>
      </w:r>
    </w:p>
    <w:p w:rsidR="00A937EF" w:rsidRPr="0009237E" w:rsidRDefault="00A937EF" w:rsidP="00A937EF">
      <w:pPr>
        <w:jc w:val="both"/>
        <w:rPr>
          <w:sz w:val="18"/>
          <w:szCs w:val="18"/>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4428"/>
      <w:gridCol w:w="4410"/>
    </w:tblGrid>
    <w:tr w:rsidR="00023E6A">
      <w:tc>
        <w:tcPr>
          <w:tcW w:w="4428" w:type="dxa"/>
        </w:tcPr>
        <w:p w:rsidR="00023E6A" w:rsidRDefault="00080F67">
          <w:pPr>
            <w:rPr>
              <w:rFonts w:ascii="Times-Roman" w:hAnsi="Times-Roman"/>
              <w:snapToGrid w:val="0"/>
            </w:rPr>
          </w:pPr>
          <w:r>
            <w:rPr>
              <w:rFonts w:ascii="Times-Roman" w:hAnsi="Times-Roman"/>
              <w:snapToGrid w:val="0"/>
            </w:rPr>
            <w:t>Management &amp; St</w:t>
          </w:r>
          <w:r w:rsidR="00551FD5">
            <w:rPr>
              <w:rFonts w:ascii="Times-Roman" w:hAnsi="Times-Roman"/>
              <w:snapToGrid w:val="0"/>
            </w:rPr>
            <w:t>rate</w:t>
          </w:r>
          <w:r w:rsidR="00FF2972">
            <w:rPr>
              <w:rFonts w:ascii="Times-Roman" w:hAnsi="Times-Roman"/>
              <w:snapToGrid w:val="0"/>
            </w:rPr>
            <w:t>gy 431</w:t>
          </w:r>
        </w:p>
        <w:p w:rsidR="00023E6A" w:rsidRDefault="00023E6A">
          <w:pPr>
            <w:rPr>
              <w:rFonts w:ascii="Times-Roman" w:hAnsi="Times-Roman"/>
              <w:snapToGrid w:val="0"/>
            </w:rPr>
          </w:pPr>
          <w:r>
            <w:rPr>
              <w:rFonts w:ascii="Times-Roman" w:hAnsi="Times-Roman"/>
              <w:snapToGrid w:val="0"/>
            </w:rPr>
            <w:t>Professor Mazzeo</w:t>
          </w:r>
        </w:p>
      </w:tc>
      <w:tc>
        <w:tcPr>
          <w:tcW w:w="4410" w:type="dxa"/>
        </w:tcPr>
        <w:p w:rsidR="00023E6A" w:rsidRDefault="00644ECF">
          <w:pPr>
            <w:jc w:val="right"/>
            <w:rPr>
              <w:rFonts w:ascii="Times-Roman" w:hAnsi="Times-Roman"/>
              <w:snapToGrid w:val="0"/>
            </w:rPr>
          </w:pPr>
          <w:r>
            <w:rPr>
              <w:rFonts w:ascii="Times-Roman" w:hAnsi="Times-Roman"/>
              <w:snapToGrid w:val="0"/>
            </w:rPr>
            <w:t>Fall 2008</w:t>
          </w:r>
          <w:r w:rsidR="00023E6A">
            <w:rPr>
              <w:rFonts w:ascii="Times-Roman" w:hAnsi="Times-Roman"/>
              <w:snapToGrid w:val="0"/>
            </w:rPr>
            <w:t xml:space="preserve"> —</w:t>
          </w:r>
          <w:r w:rsidR="00373796">
            <w:rPr>
              <w:rFonts w:ascii="Times-Roman" w:hAnsi="Times-Roman"/>
              <w:snapToGrid w:val="0"/>
            </w:rPr>
            <w:t xml:space="preserve"> Section</w:t>
          </w:r>
          <w:r w:rsidR="00FB7E64">
            <w:rPr>
              <w:rFonts w:ascii="Times-Roman" w:hAnsi="Times-Roman"/>
              <w:snapToGrid w:val="0"/>
            </w:rPr>
            <w:t>s 62, 63&amp; 64</w:t>
          </w:r>
        </w:p>
        <w:p w:rsidR="00023E6A" w:rsidRDefault="00441C12" w:rsidP="00FF2972">
          <w:pPr>
            <w:jc w:val="right"/>
            <w:rPr>
              <w:rFonts w:ascii="Times-Roman" w:hAnsi="Times-Roman"/>
              <w:snapToGrid w:val="0"/>
            </w:rPr>
          </w:pPr>
          <w:r>
            <w:rPr>
              <w:rFonts w:ascii="Times-Roman" w:hAnsi="Times-Roman"/>
              <w:snapToGrid w:val="0"/>
            </w:rPr>
            <w:t xml:space="preserve">Topic </w:t>
          </w:r>
          <w:r w:rsidR="00FF2972">
            <w:rPr>
              <w:rFonts w:ascii="Times-Roman" w:hAnsi="Times-Roman"/>
              <w:snapToGrid w:val="0"/>
            </w:rPr>
            <w:t>1.4</w:t>
          </w:r>
          <w:r w:rsidR="00023E6A">
            <w:rPr>
              <w:rFonts w:ascii="Times-Roman" w:hAnsi="Times-Roman"/>
              <w:snapToGrid w:val="0"/>
            </w:rPr>
            <w:t>: Lecture Summary</w:t>
          </w:r>
        </w:p>
      </w:tc>
    </w:tr>
  </w:tbl>
  <w:p w:rsidR="00023E6A" w:rsidRDefault="00023E6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24EA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
    <w:nsid w:val="14C91B5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nsid w:val="18F109A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nsid w:val="195B6834"/>
    <w:multiLevelType w:val="singleLevel"/>
    <w:tmpl w:val="04090015"/>
    <w:lvl w:ilvl="0">
      <w:start w:val="3"/>
      <w:numFmt w:val="upperLetter"/>
      <w:lvlText w:val="%1."/>
      <w:lvlJc w:val="left"/>
      <w:pPr>
        <w:tabs>
          <w:tab w:val="num" w:pos="360"/>
        </w:tabs>
        <w:ind w:left="360" w:hanging="360"/>
      </w:pPr>
      <w:rPr>
        <w:rFonts w:hint="default"/>
      </w:rPr>
    </w:lvl>
  </w:abstractNum>
  <w:abstractNum w:abstractNumId="4">
    <w:nsid w:val="1F6B156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nsid w:val="21154EBC"/>
    <w:multiLevelType w:val="singleLevel"/>
    <w:tmpl w:val="0409000F"/>
    <w:lvl w:ilvl="0">
      <w:start w:val="1"/>
      <w:numFmt w:val="decimal"/>
      <w:lvlText w:val="%1."/>
      <w:lvlJc w:val="left"/>
      <w:pPr>
        <w:tabs>
          <w:tab w:val="num" w:pos="360"/>
        </w:tabs>
        <w:ind w:left="360" w:hanging="360"/>
      </w:pPr>
      <w:rPr>
        <w:rFonts w:hint="default"/>
      </w:rPr>
    </w:lvl>
  </w:abstractNum>
  <w:abstractNum w:abstractNumId="6">
    <w:nsid w:val="2190390C"/>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7">
    <w:nsid w:val="241A21A8"/>
    <w:multiLevelType w:val="hybridMultilevel"/>
    <w:tmpl w:val="64AEF1E0"/>
    <w:lvl w:ilvl="0" w:tplc="4F3E817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47F656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nsid w:val="25415F39"/>
    <w:multiLevelType w:val="hybridMultilevel"/>
    <w:tmpl w:val="B8D2DA76"/>
    <w:lvl w:ilvl="0" w:tplc="58DA295A">
      <w:start w:val="1"/>
      <w:numFmt w:val="low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7372135"/>
    <w:multiLevelType w:val="singleLevel"/>
    <w:tmpl w:val="1FE87C58"/>
    <w:lvl w:ilvl="0">
      <w:numFmt w:val="bullet"/>
      <w:lvlText w:val=""/>
      <w:lvlJc w:val="left"/>
      <w:pPr>
        <w:tabs>
          <w:tab w:val="num" w:pos="720"/>
        </w:tabs>
        <w:ind w:left="720" w:hanging="360"/>
      </w:pPr>
      <w:rPr>
        <w:rFonts w:ascii="Symbol" w:hAnsi="Symbol" w:hint="default"/>
      </w:rPr>
    </w:lvl>
  </w:abstractNum>
  <w:abstractNum w:abstractNumId="11">
    <w:nsid w:val="2865584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nsid w:val="314975D1"/>
    <w:multiLevelType w:val="singleLevel"/>
    <w:tmpl w:val="366AD312"/>
    <w:lvl w:ilvl="0">
      <w:start w:val="1"/>
      <w:numFmt w:val="decimal"/>
      <w:lvlText w:val="%1."/>
      <w:lvlJc w:val="left"/>
      <w:pPr>
        <w:tabs>
          <w:tab w:val="num" w:pos="360"/>
        </w:tabs>
        <w:ind w:left="360" w:hanging="360"/>
      </w:pPr>
      <w:rPr>
        <w:rFonts w:hint="default"/>
      </w:rPr>
    </w:lvl>
  </w:abstractNum>
  <w:abstractNum w:abstractNumId="13">
    <w:nsid w:val="35DD0C1C"/>
    <w:multiLevelType w:val="singleLevel"/>
    <w:tmpl w:val="04090001"/>
    <w:lvl w:ilvl="0">
      <w:start w:val="1"/>
      <w:numFmt w:val="bullet"/>
      <w:lvlText w:val=""/>
      <w:lvlJc w:val="left"/>
      <w:pPr>
        <w:ind w:left="720" w:hanging="360"/>
      </w:pPr>
      <w:rPr>
        <w:rFonts w:ascii="Symbol" w:hAnsi="Symbol" w:hint="default"/>
      </w:rPr>
    </w:lvl>
  </w:abstractNum>
  <w:abstractNum w:abstractNumId="14">
    <w:nsid w:val="38F43743"/>
    <w:multiLevelType w:val="singleLevel"/>
    <w:tmpl w:val="366AD312"/>
    <w:lvl w:ilvl="0">
      <w:start w:val="1"/>
      <w:numFmt w:val="decimal"/>
      <w:lvlText w:val="%1."/>
      <w:lvlJc w:val="left"/>
      <w:pPr>
        <w:tabs>
          <w:tab w:val="num" w:pos="360"/>
        </w:tabs>
        <w:ind w:left="360" w:hanging="360"/>
      </w:pPr>
      <w:rPr>
        <w:rFonts w:hint="default"/>
      </w:rPr>
    </w:lvl>
  </w:abstractNum>
  <w:abstractNum w:abstractNumId="15">
    <w:nsid w:val="3B6B2A2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nsid w:val="3BAB442E"/>
    <w:multiLevelType w:val="singleLevel"/>
    <w:tmpl w:val="0409000F"/>
    <w:lvl w:ilvl="0">
      <w:start w:val="2"/>
      <w:numFmt w:val="decimal"/>
      <w:lvlText w:val="%1."/>
      <w:lvlJc w:val="left"/>
      <w:pPr>
        <w:tabs>
          <w:tab w:val="num" w:pos="360"/>
        </w:tabs>
        <w:ind w:left="360" w:hanging="360"/>
      </w:pPr>
      <w:rPr>
        <w:rFonts w:hint="default"/>
      </w:rPr>
    </w:lvl>
  </w:abstractNum>
  <w:abstractNum w:abstractNumId="17">
    <w:nsid w:val="3FA4399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nsid w:val="44A65F5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nsid w:val="47D047D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0">
    <w:nsid w:val="4E1B344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
    <w:nsid w:val="4FB81165"/>
    <w:multiLevelType w:val="singleLevel"/>
    <w:tmpl w:val="04090001"/>
    <w:lvl w:ilvl="0">
      <w:start w:val="1"/>
      <w:numFmt w:val="bullet"/>
      <w:lvlText w:val=""/>
      <w:lvlJc w:val="left"/>
      <w:pPr>
        <w:ind w:left="720" w:hanging="360"/>
      </w:pPr>
      <w:rPr>
        <w:rFonts w:ascii="Symbol" w:hAnsi="Symbol" w:hint="default"/>
      </w:rPr>
    </w:lvl>
  </w:abstractNum>
  <w:abstractNum w:abstractNumId="22">
    <w:nsid w:val="532618E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nsid w:val="583106B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
    <w:nsid w:val="59526FF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5">
    <w:nsid w:val="5B6E676D"/>
    <w:multiLevelType w:val="hybridMultilevel"/>
    <w:tmpl w:val="086EB99A"/>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5D8E4C72"/>
    <w:multiLevelType w:val="hybridMultilevel"/>
    <w:tmpl w:val="48F8E5A4"/>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1B07400"/>
    <w:multiLevelType w:val="hybridMultilevel"/>
    <w:tmpl w:val="E180710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6F270BF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9">
    <w:nsid w:val="7173277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nsid w:val="7F786581"/>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14"/>
  </w:num>
  <w:num w:numId="2">
    <w:abstractNumId w:val="12"/>
  </w:num>
  <w:num w:numId="3">
    <w:abstractNumId w:val="10"/>
  </w:num>
  <w:num w:numId="4">
    <w:abstractNumId w:val="30"/>
  </w:num>
  <w:num w:numId="5">
    <w:abstractNumId w:val="22"/>
  </w:num>
  <w:num w:numId="6">
    <w:abstractNumId w:val="2"/>
  </w:num>
  <w:num w:numId="7">
    <w:abstractNumId w:val="11"/>
  </w:num>
  <w:num w:numId="8">
    <w:abstractNumId w:val="18"/>
  </w:num>
  <w:num w:numId="9">
    <w:abstractNumId w:val="13"/>
  </w:num>
  <w:num w:numId="10">
    <w:abstractNumId w:val="4"/>
  </w:num>
  <w:num w:numId="11">
    <w:abstractNumId w:val="0"/>
  </w:num>
  <w:num w:numId="12">
    <w:abstractNumId w:val="23"/>
  </w:num>
  <w:num w:numId="13">
    <w:abstractNumId w:val="6"/>
  </w:num>
  <w:num w:numId="14">
    <w:abstractNumId w:val="20"/>
  </w:num>
  <w:num w:numId="15">
    <w:abstractNumId w:val="21"/>
  </w:num>
  <w:num w:numId="16">
    <w:abstractNumId w:val="27"/>
  </w:num>
  <w:num w:numId="17">
    <w:abstractNumId w:val="26"/>
  </w:num>
  <w:num w:numId="18">
    <w:abstractNumId w:val="9"/>
  </w:num>
  <w:num w:numId="19">
    <w:abstractNumId w:val="7"/>
  </w:num>
  <w:num w:numId="20">
    <w:abstractNumId w:val="5"/>
  </w:num>
  <w:num w:numId="21">
    <w:abstractNumId w:val="16"/>
  </w:num>
  <w:num w:numId="22">
    <w:abstractNumId w:val="15"/>
  </w:num>
  <w:num w:numId="23">
    <w:abstractNumId w:val="17"/>
  </w:num>
  <w:num w:numId="24">
    <w:abstractNumId w:val="29"/>
  </w:num>
  <w:num w:numId="25">
    <w:abstractNumId w:val="8"/>
  </w:num>
  <w:num w:numId="26">
    <w:abstractNumId w:val="19"/>
  </w:num>
  <w:num w:numId="27">
    <w:abstractNumId w:val="28"/>
  </w:num>
  <w:num w:numId="28">
    <w:abstractNumId w:val="3"/>
  </w:num>
  <w:num w:numId="29">
    <w:abstractNumId w:val="24"/>
  </w:num>
  <w:num w:numId="30">
    <w:abstractNumId w:val="1"/>
  </w:num>
  <w:num w:numId="31">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73796"/>
    <w:rsid w:val="00016FF2"/>
    <w:rsid w:val="00023E6A"/>
    <w:rsid w:val="00080F67"/>
    <w:rsid w:val="000B0D93"/>
    <w:rsid w:val="000C50FC"/>
    <w:rsid w:val="00241725"/>
    <w:rsid w:val="00275F1C"/>
    <w:rsid w:val="003165D6"/>
    <w:rsid w:val="00352BDD"/>
    <w:rsid w:val="00373796"/>
    <w:rsid w:val="003D5F5C"/>
    <w:rsid w:val="00441C12"/>
    <w:rsid w:val="004E41DA"/>
    <w:rsid w:val="00531E89"/>
    <w:rsid w:val="00551FD5"/>
    <w:rsid w:val="00644ECF"/>
    <w:rsid w:val="006D4E96"/>
    <w:rsid w:val="00876160"/>
    <w:rsid w:val="0090758B"/>
    <w:rsid w:val="00907959"/>
    <w:rsid w:val="00937C11"/>
    <w:rsid w:val="0095724B"/>
    <w:rsid w:val="00A937EF"/>
    <w:rsid w:val="00AE4421"/>
    <w:rsid w:val="00B538F6"/>
    <w:rsid w:val="00E57B07"/>
    <w:rsid w:val="00E7443F"/>
    <w:rsid w:val="00EE6581"/>
    <w:rsid w:val="00FB7E64"/>
    <w:rsid w:val="00FF297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4172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41725"/>
    <w:pPr>
      <w:tabs>
        <w:tab w:val="center" w:pos="4320"/>
        <w:tab w:val="right" w:pos="8640"/>
      </w:tabs>
    </w:pPr>
  </w:style>
  <w:style w:type="paragraph" w:styleId="Footer">
    <w:name w:val="footer"/>
    <w:basedOn w:val="Normal"/>
    <w:rsid w:val="00241725"/>
    <w:pPr>
      <w:tabs>
        <w:tab w:val="center" w:pos="4320"/>
        <w:tab w:val="right" w:pos="8640"/>
      </w:tabs>
    </w:pPr>
  </w:style>
  <w:style w:type="character" w:styleId="PageNumber">
    <w:name w:val="page number"/>
    <w:basedOn w:val="DefaultParagraphFont"/>
    <w:rsid w:val="00241725"/>
  </w:style>
  <w:style w:type="paragraph" w:styleId="FootnoteText">
    <w:name w:val="footnote text"/>
    <w:basedOn w:val="Normal"/>
    <w:semiHidden/>
    <w:rsid w:val="00080F67"/>
  </w:style>
  <w:style w:type="character" w:styleId="FootnoteReference">
    <w:name w:val="footnote reference"/>
    <w:basedOn w:val="DefaultParagraphFont"/>
    <w:semiHidden/>
    <w:rsid w:val="00080F67"/>
    <w:rPr>
      <w:vertAlign w:val="superscript"/>
    </w:rPr>
  </w:style>
  <w:style w:type="table" w:styleId="TableGrid">
    <w:name w:val="Table Grid"/>
    <w:basedOn w:val="TableNormal"/>
    <w:rsid w:val="00A937E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Office_Excel_97-2003_Worksheet1.xls"/><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84</TotalTime>
  <Pages>6</Pages>
  <Words>2792</Words>
  <Characters>15919</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Management &amp; Strategy D31 Professor Mazzeo</vt:lpstr>
    </vt:vector>
  </TitlesOfParts>
  <Company>KGSM</Company>
  <LinksUpToDate>false</LinksUpToDate>
  <CharactersWithSpaces>18674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Management &amp; Strategy D31 Professor Mazzeo</dc:title>
  <dc:subject/>
  <dc:creator>Marcia Lind</dc:creator>
  <cp:keywords/>
  <cp:lastModifiedBy>mma317</cp:lastModifiedBy>
  <cp:revision>5</cp:revision>
  <cp:lastPrinted>2008-10-17T17:16:00Z</cp:lastPrinted>
  <dcterms:created xsi:type="dcterms:W3CDTF">2008-10-17T16:25:00Z</dcterms:created>
  <dcterms:modified xsi:type="dcterms:W3CDTF">2008-10-17T17:49:00Z</dcterms:modified>
</cp:coreProperties>
</file>