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426" w:rsidRDefault="00592426">
      <w:pPr>
        <w:pStyle w:val="Heading1"/>
        <w:jc w:val="center"/>
        <w:rPr>
          <w:b/>
          <w:sz w:val="24"/>
          <w:u w:val="none"/>
        </w:rPr>
      </w:pPr>
      <w:r>
        <w:rPr>
          <w:b/>
          <w:sz w:val="24"/>
          <w:u w:val="none"/>
        </w:rPr>
        <w:t>Nucor at a Crossroads — Case Summary</w:t>
      </w:r>
    </w:p>
    <w:p w:rsidR="00592426" w:rsidRDefault="00592426"/>
    <w:p w:rsidR="00592426" w:rsidRDefault="00592426"/>
    <w:p w:rsidR="00592426" w:rsidRDefault="00592426">
      <w:pPr>
        <w:numPr>
          <w:ilvl w:val="0"/>
          <w:numId w:val="23"/>
        </w:numPr>
      </w:pPr>
      <w:r>
        <w:t xml:space="preserve">History of the </w:t>
      </w:r>
      <w:smartTag w:uri="urn:schemas-microsoft-com:office:smarttags" w:element="place">
        <w:smartTag w:uri="urn:schemas-microsoft-com:office:smarttags" w:element="country-region">
          <w:r>
            <w:t>U.S.</w:t>
          </w:r>
        </w:smartTag>
      </w:smartTag>
      <w:r>
        <w:t xml:space="preserve"> Steel Industry</w:t>
      </w:r>
    </w:p>
    <w:p w:rsidR="00592426" w:rsidRDefault="00592426">
      <w:pPr>
        <w:pStyle w:val="BodyTextIndent"/>
        <w:ind w:left="0"/>
      </w:pPr>
    </w:p>
    <w:p w:rsidR="00592426" w:rsidRDefault="00B223EA">
      <w:pPr>
        <w:ind w:left="360"/>
        <w:jc w:val="both"/>
      </w:pPr>
      <w:r>
        <w:t>Background:  f</w:t>
      </w:r>
      <w:r w:rsidR="00592426">
        <w:t xml:space="preserve">or many decades, integrated steel makers were a collusive oligopoly.  Instead of competing head-to-head, all firms sold at the price and quantity </w:t>
      </w:r>
      <w:r w:rsidR="00CE1B14">
        <w:t>assigned/</w:t>
      </w:r>
      <w:r w:rsidR="00592426">
        <w:t xml:space="preserve">set by U.S. Steel.  Since smaller firms followed U.S. Steel’s lead in pricing, the firms in the cartel acted like a monopoly.  This arrangement was very profitable for the steel makers throughout the early Post-War period, but reduced the incentive to invest in new technology. </w:t>
      </w:r>
      <w:r w:rsidR="007F5AD3">
        <w:t xml:space="preserve">Labor contract inflexibility due to unionization also limited the extent to which capital could be profitably employed and expanded by integrated mills.  </w:t>
      </w:r>
      <w:r w:rsidR="00592426">
        <w:t xml:space="preserve">Because of this historical pattern of underinvestment by integrated steel makers, their market share was vulnerable to imports and minimills.  </w:t>
      </w:r>
    </w:p>
    <w:p w:rsidR="00592426" w:rsidRDefault="00592426">
      <w:pPr>
        <w:jc w:val="both"/>
      </w:pPr>
    </w:p>
    <w:p w:rsidR="00592426" w:rsidRDefault="00592426">
      <w:pPr>
        <w:ind w:left="360"/>
        <w:jc w:val="both"/>
      </w:pPr>
      <w:r>
        <w:t>Some other notes about the steel industry that will affect the potential return of investments:</w:t>
      </w:r>
    </w:p>
    <w:p w:rsidR="00592426" w:rsidRDefault="00592426">
      <w:pPr>
        <w:jc w:val="both"/>
      </w:pPr>
    </w:p>
    <w:p w:rsidR="00592426" w:rsidRDefault="00592426">
      <w:pPr>
        <w:numPr>
          <w:ilvl w:val="0"/>
          <w:numId w:val="30"/>
        </w:numPr>
        <w:tabs>
          <w:tab w:val="clear" w:pos="360"/>
          <w:tab w:val="num" w:pos="720"/>
        </w:tabs>
        <w:ind w:left="720"/>
        <w:jc w:val="both"/>
      </w:pPr>
      <w:r>
        <w:t>Demand is growing slowly</w:t>
      </w:r>
    </w:p>
    <w:p w:rsidR="00592426" w:rsidRDefault="00592426">
      <w:pPr>
        <w:numPr>
          <w:ilvl w:val="0"/>
          <w:numId w:val="30"/>
        </w:numPr>
        <w:tabs>
          <w:tab w:val="clear" w:pos="360"/>
          <w:tab w:val="num" w:pos="720"/>
        </w:tabs>
        <w:ind w:left="720"/>
        <w:jc w:val="both"/>
      </w:pPr>
      <w:r>
        <w:t>Substitute materials are much more common and acceptable</w:t>
      </w:r>
    </w:p>
    <w:p w:rsidR="00592426" w:rsidRDefault="00592426">
      <w:pPr>
        <w:numPr>
          <w:ilvl w:val="0"/>
          <w:numId w:val="30"/>
        </w:numPr>
        <w:tabs>
          <w:tab w:val="clear" w:pos="360"/>
          <w:tab w:val="num" w:pos="720"/>
        </w:tabs>
        <w:ind w:left="720"/>
        <w:jc w:val="both"/>
      </w:pPr>
      <w:r>
        <w:t>Consumers essentially view the good as a commodity (particularly in the lower quality grades)</w:t>
      </w:r>
    </w:p>
    <w:p w:rsidR="00592426" w:rsidRDefault="00592426">
      <w:pPr>
        <w:numPr>
          <w:ilvl w:val="0"/>
          <w:numId w:val="30"/>
        </w:numPr>
        <w:tabs>
          <w:tab w:val="clear" w:pos="360"/>
          <w:tab w:val="num" w:pos="720"/>
        </w:tabs>
        <w:ind w:left="720"/>
        <w:jc w:val="both"/>
      </w:pPr>
      <w:r>
        <w:t>Low price imported steel has stolen share, leaving integrated mill</w:t>
      </w:r>
      <w:r w:rsidR="00CE1B14">
        <w:t>s</w:t>
      </w:r>
      <w:r>
        <w:t xml:space="preserve"> with substantial excess capacity</w:t>
      </w:r>
    </w:p>
    <w:p w:rsidR="00592426" w:rsidRDefault="00592426">
      <w:pPr>
        <w:jc w:val="both"/>
      </w:pPr>
    </w:p>
    <w:p w:rsidR="00592426" w:rsidRDefault="00592426">
      <w:pPr>
        <w:ind w:left="360"/>
        <w:jc w:val="both"/>
      </w:pPr>
      <w:r>
        <w:t>Within each grade of steel, opportunities for product differentiation are very limited.  Thus, lower cost firms can profitably steal marke</w:t>
      </w:r>
      <w:r w:rsidR="00CE1B14">
        <w:t>t share from competitors.  A</w:t>
      </w:r>
      <w:r>
        <w:t xml:space="preserve"> </w:t>
      </w:r>
      <w:r>
        <w:rPr>
          <w:u w:val="single"/>
        </w:rPr>
        <w:t>new entrant</w:t>
      </w:r>
      <w:r w:rsidR="00CE1B14">
        <w:t xml:space="preserve"> wants to charge prices high enough to recover its costs while still being able to steal market share —</w:t>
      </w:r>
      <w:r>
        <w:t xml:space="preserve"> this means that </w:t>
      </w:r>
      <w:r w:rsidR="00CE1B14">
        <w:t xml:space="preserve">their </w:t>
      </w:r>
      <w:r w:rsidR="007F5AD3">
        <w:t>operating costs</w:t>
      </w:r>
      <w:r>
        <w:t xml:space="preserve"> plus </w:t>
      </w:r>
      <w:r w:rsidR="007F5AD3">
        <w:t>construction</w:t>
      </w:r>
      <w:r>
        <w:t xml:space="preserve"> costs must be lower than </w:t>
      </w:r>
      <w:r>
        <w:rPr>
          <w:b/>
        </w:rPr>
        <w:t>just</w:t>
      </w:r>
      <w:r>
        <w:t xml:space="preserve"> the </w:t>
      </w:r>
      <w:r w:rsidR="007F5AD3">
        <w:t>operating</w:t>
      </w:r>
      <w:r>
        <w:t xml:space="preserve"> costs of the incumbe</w:t>
      </w:r>
      <w:r w:rsidR="007F5AD3">
        <w:t>nt firms (since their construction</w:t>
      </w:r>
      <w:r>
        <w:t xml:space="preserve"> costs are sunk</w:t>
      </w:r>
      <w:r w:rsidR="00CE1B14">
        <w:t>, they are willing to set prices this low in the face of entry</w:t>
      </w:r>
      <w:r>
        <w:t>). Essentially, all firms are pursuing the same goal.  We want to explain Nucor’s successful strategies in pursuing that goal.</w:t>
      </w:r>
    </w:p>
    <w:p w:rsidR="00592426" w:rsidRDefault="00592426">
      <w:pPr>
        <w:jc w:val="both"/>
      </w:pPr>
    </w:p>
    <w:p w:rsidR="00592426" w:rsidRDefault="00592426">
      <w:pPr>
        <w:numPr>
          <w:ilvl w:val="0"/>
          <w:numId w:val="23"/>
        </w:numPr>
        <w:jc w:val="both"/>
      </w:pPr>
      <w:r>
        <w:t>Identifying the Sources of Nucor’s Historically Good Performance</w:t>
      </w:r>
    </w:p>
    <w:p w:rsidR="00592426" w:rsidRDefault="00592426">
      <w:pPr>
        <w:jc w:val="both"/>
      </w:pPr>
    </w:p>
    <w:p w:rsidR="00592426" w:rsidRDefault="00592426">
      <w:pPr>
        <w:numPr>
          <w:ilvl w:val="0"/>
          <w:numId w:val="32"/>
        </w:numPr>
        <w:jc w:val="both"/>
      </w:pPr>
      <w:r>
        <w:t>“People Policies”:  We cannot explain Nucor’s success without noting its pay-for-performance structure that keeps the employees’ incentives nearly perfectly in-line with increasing shareholder value.  Other corporate and HR policies also contribute to Nucor’s success.</w:t>
      </w:r>
    </w:p>
    <w:p w:rsidR="00592426" w:rsidRDefault="00592426">
      <w:pPr>
        <w:jc w:val="both"/>
      </w:pPr>
    </w:p>
    <w:p w:rsidR="00592426" w:rsidRDefault="00592426">
      <w:pPr>
        <w:jc w:val="both"/>
      </w:pPr>
    </w:p>
    <w:p w:rsidR="00592426" w:rsidRDefault="00592426">
      <w:pPr>
        <w:numPr>
          <w:ilvl w:val="0"/>
          <w:numId w:val="33"/>
        </w:numPr>
        <w:jc w:val="both"/>
      </w:pPr>
      <w:r>
        <w:t>The production workers are paid on volume of output.  Given that orders need to be filled in a timely fashion, it is less important how many hours the employee works and more important that a particularly quantity is produced.  The reward is linked directly with the action — good reinforcement.  Payroll is high when sales are high and vice versa — labor turns into a variable rather than a fixed costs — important when demand fluctuates.</w:t>
      </w:r>
    </w:p>
    <w:p w:rsidR="00592426" w:rsidRDefault="00592426">
      <w:pPr>
        <w:jc w:val="both"/>
      </w:pPr>
    </w:p>
    <w:p w:rsidR="00592426" w:rsidRDefault="00592426">
      <w:pPr>
        <w:pStyle w:val="BodyTextIndent2"/>
      </w:pPr>
      <w:r>
        <w:t>Possible costs include:</w:t>
      </w:r>
    </w:p>
    <w:p w:rsidR="00592426" w:rsidRDefault="00592426">
      <w:pPr>
        <w:ind w:left="360"/>
        <w:jc w:val="both"/>
      </w:pPr>
    </w:p>
    <w:p w:rsidR="00592426" w:rsidRDefault="00592426">
      <w:pPr>
        <w:numPr>
          <w:ilvl w:val="0"/>
          <w:numId w:val="36"/>
        </w:numPr>
        <w:tabs>
          <w:tab w:val="clear" w:pos="360"/>
          <w:tab w:val="num" w:pos="720"/>
        </w:tabs>
        <w:ind w:left="720"/>
        <w:jc w:val="both"/>
      </w:pPr>
      <w:r>
        <w:t>Quality is more difficult to monitor than quantity.  If Nucor moves into more quality-oriented segments, will this regime work?</w:t>
      </w:r>
    </w:p>
    <w:p w:rsidR="00592426" w:rsidRDefault="00592426">
      <w:pPr>
        <w:jc w:val="both"/>
      </w:pPr>
    </w:p>
    <w:p w:rsidR="00592426" w:rsidRDefault="00592426">
      <w:pPr>
        <w:numPr>
          <w:ilvl w:val="0"/>
          <w:numId w:val="37"/>
        </w:numPr>
        <w:jc w:val="both"/>
      </w:pPr>
      <w:r>
        <w:t>Not all individuals thrive in this environment — need to have a system of self-selection.  Nucor chose plant locations strategically (work ethic of rural farm families) and carefully screened applicants.</w:t>
      </w:r>
    </w:p>
    <w:p w:rsidR="00592426" w:rsidRDefault="00592426">
      <w:pPr>
        <w:jc w:val="both"/>
      </w:pPr>
    </w:p>
    <w:p w:rsidR="00592426" w:rsidRDefault="00592426">
      <w:pPr>
        <w:pStyle w:val="BodyTextIndent2"/>
        <w:numPr>
          <w:ilvl w:val="0"/>
          <w:numId w:val="33"/>
        </w:numPr>
      </w:pPr>
      <w:r>
        <w:t>Corporate organization facilitates information sharing among plants.</w:t>
      </w:r>
    </w:p>
    <w:p w:rsidR="00592426" w:rsidRDefault="00592426">
      <w:pPr>
        <w:jc w:val="both"/>
      </w:pPr>
    </w:p>
    <w:p w:rsidR="00592426" w:rsidRDefault="00592426">
      <w:pPr>
        <w:pStyle w:val="BodyTextIndent2"/>
        <w:numPr>
          <w:ilvl w:val="0"/>
          <w:numId w:val="33"/>
        </w:numPr>
      </w:pPr>
      <w:r>
        <w:t>Multi-tasking increases capacity utilization of workforce and lowers labor costs per unit produced.</w:t>
      </w:r>
    </w:p>
    <w:p w:rsidR="00592426" w:rsidRDefault="00592426">
      <w:pPr>
        <w:jc w:val="both"/>
      </w:pPr>
    </w:p>
    <w:p w:rsidR="00592426" w:rsidRDefault="00B223EA">
      <w:pPr>
        <w:numPr>
          <w:ilvl w:val="0"/>
          <w:numId w:val="33"/>
        </w:numPr>
        <w:jc w:val="both"/>
      </w:pPr>
      <w:r>
        <w:lastRenderedPageBreak/>
        <w:t>Compilation of “people policies” and corporate culture act</w:t>
      </w:r>
      <w:r w:rsidR="00592426">
        <w:t xml:space="preserve"> to reduce turnover.  Lower turnover gives workers the opportunity to train in the multiple tasks and allows the firm to retain the value of the knowledge workers acquire.</w:t>
      </w:r>
    </w:p>
    <w:p w:rsidR="00592426" w:rsidRDefault="00592426">
      <w:pPr>
        <w:jc w:val="both"/>
      </w:pPr>
    </w:p>
    <w:p w:rsidR="00592426" w:rsidRDefault="00592426">
      <w:pPr>
        <w:numPr>
          <w:ilvl w:val="0"/>
          <w:numId w:val="32"/>
        </w:numPr>
        <w:jc w:val="both"/>
      </w:pPr>
      <w:r>
        <w:t>Plant Investment:  Early in Nucor’s history, it made decisions to invest more often than did its competitors.  As a result, Nucor acquired significant plant investment experience.  This experience transfers to subsequent investment projects; as a result, Nucor was able to build plants with greater facility.  In addition, Nucor designs and builds concurrently.  This lowered Nucor’s engineering costs to under 2% of total project costs from the industry norm of 10% of total project costs.  Furthermore, Nucor’s time to completion was so much shorter than the industry average that Nucor was able to negotiate lower contractor costs.</w:t>
      </w:r>
    </w:p>
    <w:p w:rsidR="00592426" w:rsidRDefault="00592426">
      <w:pPr>
        <w:jc w:val="both"/>
      </w:pPr>
    </w:p>
    <w:p w:rsidR="00592426" w:rsidRDefault="00592426">
      <w:pPr>
        <w:ind w:left="360"/>
        <w:jc w:val="both"/>
      </w:pPr>
      <w:r>
        <w:t xml:space="preserve">Since Nucor’s </w:t>
      </w:r>
      <w:r w:rsidR="007F5AD3">
        <w:t>construction</w:t>
      </w:r>
      <w:r>
        <w:t xml:space="preserve"> and operating costs were lower, projects generate a higher NPV when performed by Nucor relative to competitors.  Since projects have a higher NPV, Nucor partakes in more investment and subsequently generates lower future costs.  As a bonus, since the workers who build a Nucor plant work at the plant, they will be better at addressing bottlenecks and other problems related to plant design and layout that come up.</w:t>
      </w:r>
    </w:p>
    <w:p w:rsidR="00592426" w:rsidRDefault="00592426">
      <w:pPr>
        <w:ind w:left="360"/>
        <w:jc w:val="both"/>
      </w:pPr>
    </w:p>
    <w:p w:rsidR="00592426" w:rsidRDefault="00592426">
      <w:pPr>
        <w:pStyle w:val="BodyText2"/>
      </w:pPr>
      <w:r>
        <w:t>In sum:  While any one policy is imitable, the full benefit is only realized if all policies are implemented.  The benefit of Nucor’s plant investment and people policies is that they have contributed to the acquisition of knowledge regarding producing the output more efficiently.  The efficiency gains come from productive workers who are using incrementally better plants.   This results in additional investment:  Nucor invests more because more projects are positive NPV for Nucor.</w:t>
      </w:r>
      <w:r w:rsidR="00B223EA">
        <w:t xml:space="preserve">  As a consequence of all of these factors, the sustainability of Nucor’s through a very substantial learning curve — man-hours per ton fell precipitously, especially during the firm’s early history.</w:t>
      </w:r>
    </w:p>
    <w:p w:rsidR="00592426" w:rsidRDefault="00592426">
      <w:pPr>
        <w:jc w:val="both"/>
        <w:rPr>
          <w:b/>
        </w:rPr>
      </w:pPr>
    </w:p>
    <w:p w:rsidR="00592426" w:rsidRDefault="00592426">
      <w:pPr>
        <w:numPr>
          <w:ilvl w:val="0"/>
          <w:numId w:val="23"/>
        </w:numPr>
        <w:jc w:val="both"/>
      </w:pPr>
      <w:r>
        <w:t>Entering Flat Sheet</w:t>
      </w:r>
    </w:p>
    <w:p w:rsidR="00592426" w:rsidRDefault="00592426">
      <w:pPr>
        <w:jc w:val="both"/>
      </w:pPr>
    </w:p>
    <w:p w:rsidR="00592426" w:rsidRDefault="00592426">
      <w:pPr>
        <w:numPr>
          <w:ilvl w:val="0"/>
          <w:numId w:val="38"/>
        </w:numPr>
        <w:jc w:val="both"/>
      </w:pPr>
      <w:r>
        <w:t xml:space="preserve">Timing:  Looking at Exhibit 6, </w:t>
      </w:r>
      <w:r w:rsidR="00B223EA">
        <w:t xml:space="preserve">however, </w:t>
      </w:r>
      <w:r>
        <w:t xml:space="preserve">we see </w:t>
      </w:r>
      <w:r w:rsidR="00B223EA">
        <w:t xml:space="preserve">that over the past five years there has been a substantial slowdown in the man-hours per ton reductions.  </w:t>
      </w:r>
      <w:r>
        <w:t>Due to the nature of diminishing returns</w:t>
      </w:r>
      <w:r w:rsidR="00B223EA">
        <w:t xml:space="preserve">, </w:t>
      </w:r>
      <w:r>
        <w:t xml:space="preserve">we </w:t>
      </w:r>
      <w:r w:rsidR="00B223EA">
        <w:t xml:space="preserve">would </w:t>
      </w:r>
      <w:r>
        <w:t>expect similar declines to continue over the next decade.  The rate of productivity growth has already begun to fall, and Nucor’s management is worried about the sources of future growth.</w:t>
      </w:r>
    </w:p>
    <w:p w:rsidR="00592426" w:rsidRDefault="00592426">
      <w:pPr>
        <w:jc w:val="both"/>
      </w:pPr>
    </w:p>
    <w:p w:rsidR="00592426" w:rsidRDefault="00592426">
      <w:pPr>
        <w:ind w:left="360"/>
        <w:jc w:val="both"/>
      </w:pPr>
      <w:r>
        <w:t xml:space="preserve">So the next question is:  </w:t>
      </w:r>
      <w:r>
        <w:rPr>
          <w:b/>
        </w:rPr>
        <w:t xml:space="preserve">Why enter </w:t>
      </w:r>
      <w:r w:rsidR="005C6E89">
        <w:rPr>
          <w:b/>
        </w:rPr>
        <w:t>the flat-sheet segment with thin</w:t>
      </w:r>
      <w:r>
        <w:rPr>
          <w:b/>
        </w:rPr>
        <w:t xml:space="preserve"> slab casting and why now?</w:t>
      </w:r>
    </w:p>
    <w:p w:rsidR="00592426" w:rsidRDefault="00592426">
      <w:pPr>
        <w:ind w:left="360"/>
        <w:jc w:val="both"/>
      </w:pPr>
    </w:p>
    <w:p w:rsidR="00592426" w:rsidRDefault="00592426">
      <w:pPr>
        <w:ind w:left="360" w:hanging="360"/>
        <w:jc w:val="both"/>
      </w:pPr>
      <w:r>
        <w:t xml:space="preserve">B.   Capitalizing on the Investment:  Flat sheet is the largest segment of the steel market; Nucor can increase its own sales by gaining share in this large segment.  The case suggests that entering flat sheet has only just become technologically feasible for a minimill.  </w:t>
      </w:r>
      <w:r w:rsidR="00B223EA">
        <w:t xml:space="preserve">This suggests that there would be lots of high cost capacity available for an efficient entrant to supplant.  </w:t>
      </w:r>
      <w:r>
        <w:t>Since the flat-sheet segment is not projected to grow much</w:t>
      </w:r>
      <w:r w:rsidR="00B223EA">
        <w:t xml:space="preserve"> and there is excess market capacity</w:t>
      </w:r>
      <w:r>
        <w:t xml:space="preserve">, Nucor </w:t>
      </w:r>
      <w:r w:rsidRPr="00B223EA">
        <w:rPr>
          <w:b/>
        </w:rPr>
        <w:t>must</w:t>
      </w:r>
      <w:r>
        <w:t xml:space="preserve"> </w:t>
      </w:r>
      <w:r>
        <w:rPr>
          <w:b/>
        </w:rPr>
        <w:t>steal market share</w:t>
      </w:r>
      <w:r>
        <w:t xml:space="preserve"> from the relatively inefficient integrated mills that currently compete in this segment.</w:t>
      </w:r>
    </w:p>
    <w:p w:rsidR="00592426" w:rsidRDefault="00592426">
      <w:pPr>
        <w:ind w:left="360"/>
        <w:jc w:val="both"/>
      </w:pPr>
    </w:p>
    <w:p w:rsidR="00592426" w:rsidRDefault="00592426">
      <w:pPr>
        <w:ind w:left="360"/>
        <w:jc w:val="both"/>
      </w:pPr>
      <w:r>
        <w:t>We can use information from exhibit 12B to help determine what advantage the new thin slab casting technology for minimills has over rivals' technologies:</w:t>
      </w:r>
    </w:p>
    <w:p w:rsidR="00592426" w:rsidRDefault="00592426">
      <w:pPr>
        <w:ind w:left="36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8"/>
        <w:gridCol w:w="1142"/>
        <w:gridCol w:w="1293"/>
        <w:gridCol w:w="1170"/>
        <w:gridCol w:w="1350"/>
      </w:tblGrid>
      <w:tr w:rsidR="00592426">
        <w:trPr>
          <w:cantSplit/>
          <w:jc w:val="center"/>
        </w:trPr>
        <w:tc>
          <w:tcPr>
            <w:tcW w:w="2588" w:type="dxa"/>
            <w:vMerge w:val="restart"/>
          </w:tcPr>
          <w:p w:rsidR="00592426" w:rsidRDefault="00592426">
            <w:pPr>
              <w:jc w:val="center"/>
            </w:pPr>
            <w:r>
              <w:t>Per Ton</w:t>
            </w:r>
          </w:p>
          <w:p w:rsidR="00592426" w:rsidRDefault="00592426">
            <w:pPr>
              <w:jc w:val="center"/>
            </w:pPr>
            <w:r>
              <w:t>Costs</w:t>
            </w:r>
          </w:p>
        </w:tc>
        <w:tc>
          <w:tcPr>
            <w:tcW w:w="2435" w:type="dxa"/>
            <w:gridSpan w:val="2"/>
          </w:tcPr>
          <w:p w:rsidR="00592426" w:rsidRDefault="00592426">
            <w:pPr>
              <w:jc w:val="center"/>
            </w:pPr>
            <w:r>
              <w:t>Modernized</w:t>
            </w:r>
          </w:p>
        </w:tc>
        <w:tc>
          <w:tcPr>
            <w:tcW w:w="2520" w:type="dxa"/>
            <w:gridSpan w:val="2"/>
          </w:tcPr>
          <w:p w:rsidR="00592426" w:rsidRDefault="00592426">
            <w:pPr>
              <w:jc w:val="center"/>
            </w:pPr>
            <w:r>
              <w:t>Unmodernized</w:t>
            </w:r>
          </w:p>
        </w:tc>
      </w:tr>
      <w:tr w:rsidR="00592426">
        <w:trPr>
          <w:cantSplit/>
          <w:jc w:val="center"/>
        </w:trPr>
        <w:tc>
          <w:tcPr>
            <w:tcW w:w="2588" w:type="dxa"/>
            <w:vMerge/>
          </w:tcPr>
          <w:p w:rsidR="00592426" w:rsidRDefault="00592426">
            <w:pPr>
              <w:jc w:val="center"/>
            </w:pPr>
          </w:p>
        </w:tc>
        <w:tc>
          <w:tcPr>
            <w:tcW w:w="1142" w:type="dxa"/>
          </w:tcPr>
          <w:p w:rsidR="00592426" w:rsidRDefault="00592426">
            <w:pPr>
              <w:jc w:val="center"/>
            </w:pPr>
            <w:r>
              <w:t>Hot-Rolled</w:t>
            </w:r>
          </w:p>
        </w:tc>
        <w:tc>
          <w:tcPr>
            <w:tcW w:w="1293" w:type="dxa"/>
          </w:tcPr>
          <w:p w:rsidR="00592426" w:rsidRDefault="00592426">
            <w:pPr>
              <w:jc w:val="center"/>
            </w:pPr>
            <w:r>
              <w:t>Cold-Rolled</w:t>
            </w:r>
          </w:p>
        </w:tc>
        <w:tc>
          <w:tcPr>
            <w:tcW w:w="1170" w:type="dxa"/>
          </w:tcPr>
          <w:p w:rsidR="00592426" w:rsidRDefault="00592426">
            <w:pPr>
              <w:jc w:val="center"/>
            </w:pPr>
            <w:r>
              <w:t>Hot-Rolled</w:t>
            </w:r>
          </w:p>
        </w:tc>
        <w:tc>
          <w:tcPr>
            <w:tcW w:w="1350" w:type="dxa"/>
          </w:tcPr>
          <w:p w:rsidR="00592426" w:rsidRDefault="00592426">
            <w:pPr>
              <w:jc w:val="center"/>
            </w:pPr>
            <w:r>
              <w:t>Cold-Rolled</w:t>
            </w:r>
          </w:p>
        </w:tc>
      </w:tr>
      <w:tr w:rsidR="00592426">
        <w:trPr>
          <w:jc w:val="center"/>
        </w:trPr>
        <w:tc>
          <w:tcPr>
            <w:tcW w:w="2588" w:type="dxa"/>
          </w:tcPr>
          <w:p w:rsidR="00592426" w:rsidRDefault="00592426">
            <w:pPr>
              <w:jc w:val="center"/>
            </w:pPr>
          </w:p>
          <w:p w:rsidR="00592426" w:rsidRDefault="00592426">
            <w:pPr>
              <w:jc w:val="center"/>
            </w:pPr>
            <w:r>
              <w:t>Competitor's Operating Costs</w:t>
            </w:r>
          </w:p>
          <w:p w:rsidR="00592426" w:rsidRDefault="00592426">
            <w:pPr>
              <w:jc w:val="center"/>
            </w:pPr>
          </w:p>
        </w:tc>
        <w:tc>
          <w:tcPr>
            <w:tcW w:w="1142" w:type="dxa"/>
          </w:tcPr>
          <w:p w:rsidR="00592426" w:rsidRDefault="00592426">
            <w:pPr>
              <w:jc w:val="center"/>
            </w:pPr>
          </w:p>
          <w:p w:rsidR="00592426" w:rsidRDefault="00592426">
            <w:pPr>
              <w:jc w:val="center"/>
            </w:pPr>
            <w:r>
              <w:t>$261.50</w:t>
            </w:r>
          </w:p>
        </w:tc>
        <w:tc>
          <w:tcPr>
            <w:tcW w:w="1293" w:type="dxa"/>
          </w:tcPr>
          <w:p w:rsidR="00592426" w:rsidRDefault="00592426">
            <w:pPr>
              <w:jc w:val="center"/>
            </w:pPr>
          </w:p>
          <w:p w:rsidR="00592426" w:rsidRDefault="00592426">
            <w:pPr>
              <w:jc w:val="center"/>
            </w:pPr>
            <w:r>
              <w:t>$349</w:t>
            </w:r>
          </w:p>
        </w:tc>
        <w:tc>
          <w:tcPr>
            <w:tcW w:w="1170" w:type="dxa"/>
          </w:tcPr>
          <w:p w:rsidR="00592426" w:rsidRDefault="00592426">
            <w:pPr>
              <w:jc w:val="center"/>
            </w:pPr>
          </w:p>
          <w:p w:rsidR="00592426" w:rsidRDefault="00592426">
            <w:pPr>
              <w:jc w:val="center"/>
            </w:pPr>
            <w:r>
              <w:t>$300</w:t>
            </w:r>
          </w:p>
        </w:tc>
        <w:tc>
          <w:tcPr>
            <w:tcW w:w="1350" w:type="dxa"/>
          </w:tcPr>
          <w:p w:rsidR="00592426" w:rsidRDefault="00592426"/>
          <w:p w:rsidR="00592426" w:rsidRDefault="00592426">
            <w:pPr>
              <w:jc w:val="center"/>
            </w:pPr>
            <w:r>
              <w:t>$403</w:t>
            </w:r>
          </w:p>
        </w:tc>
      </w:tr>
      <w:tr w:rsidR="00592426">
        <w:trPr>
          <w:jc w:val="center"/>
        </w:trPr>
        <w:tc>
          <w:tcPr>
            <w:tcW w:w="2588" w:type="dxa"/>
          </w:tcPr>
          <w:p w:rsidR="00592426" w:rsidRDefault="00592426">
            <w:pPr>
              <w:jc w:val="center"/>
            </w:pPr>
          </w:p>
          <w:p w:rsidR="00592426" w:rsidRDefault="00592426">
            <w:pPr>
              <w:jc w:val="center"/>
            </w:pPr>
            <w:r>
              <w:t>Nucor's Operating Costs</w:t>
            </w:r>
          </w:p>
          <w:p w:rsidR="00592426" w:rsidRDefault="00592426">
            <w:pPr>
              <w:jc w:val="center"/>
            </w:pPr>
          </w:p>
        </w:tc>
        <w:tc>
          <w:tcPr>
            <w:tcW w:w="1142" w:type="dxa"/>
          </w:tcPr>
          <w:p w:rsidR="00592426" w:rsidRDefault="00592426">
            <w:pPr>
              <w:jc w:val="center"/>
            </w:pPr>
          </w:p>
          <w:p w:rsidR="00592426" w:rsidRDefault="00592426">
            <w:pPr>
              <w:jc w:val="center"/>
            </w:pPr>
            <w:r>
              <w:t>$225</w:t>
            </w:r>
          </w:p>
        </w:tc>
        <w:tc>
          <w:tcPr>
            <w:tcW w:w="1293" w:type="dxa"/>
          </w:tcPr>
          <w:p w:rsidR="00592426" w:rsidRDefault="00592426">
            <w:pPr>
              <w:jc w:val="center"/>
            </w:pPr>
          </w:p>
          <w:p w:rsidR="00592426" w:rsidRDefault="00592426">
            <w:pPr>
              <w:jc w:val="center"/>
            </w:pPr>
            <w:r>
              <w:t>$283</w:t>
            </w:r>
          </w:p>
        </w:tc>
        <w:tc>
          <w:tcPr>
            <w:tcW w:w="1170" w:type="dxa"/>
          </w:tcPr>
          <w:p w:rsidR="00592426" w:rsidRDefault="00592426">
            <w:pPr>
              <w:jc w:val="center"/>
            </w:pPr>
          </w:p>
          <w:p w:rsidR="00592426" w:rsidRDefault="00592426">
            <w:pPr>
              <w:jc w:val="center"/>
            </w:pPr>
            <w:r>
              <w:t>$225</w:t>
            </w:r>
          </w:p>
        </w:tc>
        <w:tc>
          <w:tcPr>
            <w:tcW w:w="1350" w:type="dxa"/>
          </w:tcPr>
          <w:p w:rsidR="00592426" w:rsidRDefault="00592426">
            <w:pPr>
              <w:jc w:val="center"/>
            </w:pPr>
          </w:p>
          <w:p w:rsidR="00592426" w:rsidRDefault="00592426">
            <w:pPr>
              <w:jc w:val="center"/>
            </w:pPr>
            <w:r>
              <w:t>$283</w:t>
            </w:r>
          </w:p>
        </w:tc>
      </w:tr>
      <w:tr w:rsidR="00592426" w:rsidTr="00B223EA">
        <w:trPr>
          <w:jc w:val="center"/>
        </w:trPr>
        <w:tc>
          <w:tcPr>
            <w:tcW w:w="2588" w:type="dxa"/>
            <w:vAlign w:val="center"/>
          </w:tcPr>
          <w:p w:rsidR="00592426" w:rsidRDefault="00B223EA" w:rsidP="00B223EA">
            <w:pPr>
              <w:jc w:val="center"/>
            </w:pPr>
            <w:r>
              <w:t>Net</w:t>
            </w:r>
          </w:p>
          <w:p w:rsidR="00B223EA" w:rsidRDefault="00B223EA" w:rsidP="00B223EA">
            <w:pPr>
              <w:jc w:val="center"/>
            </w:pPr>
          </w:p>
        </w:tc>
        <w:tc>
          <w:tcPr>
            <w:tcW w:w="1142" w:type="dxa"/>
            <w:vAlign w:val="center"/>
          </w:tcPr>
          <w:p w:rsidR="00592426" w:rsidRDefault="00592426" w:rsidP="00B223EA">
            <w:pPr>
              <w:jc w:val="center"/>
            </w:pPr>
            <w:r>
              <w:t>$36.50</w:t>
            </w:r>
          </w:p>
          <w:p w:rsidR="00B223EA" w:rsidRDefault="00B223EA" w:rsidP="00B223EA">
            <w:pPr>
              <w:jc w:val="center"/>
            </w:pPr>
          </w:p>
        </w:tc>
        <w:tc>
          <w:tcPr>
            <w:tcW w:w="1293" w:type="dxa"/>
            <w:vAlign w:val="center"/>
          </w:tcPr>
          <w:p w:rsidR="00592426" w:rsidRDefault="00592426" w:rsidP="00B223EA">
            <w:pPr>
              <w:jc w:val="center"/>
            </w:pPr>
            <w:r>
              <w:t>$66</w:t>
            </w:r>
          </w:p>
          <w:p w:rsidR="00B223EA" w:rsidRDefault="00B223EA" w:rsidP="00B223EA">
            <w:pPr>
              <w:jc w:val="center"/>
            </w:pPr>
          </w:p>
        </w:tc>
        <w:tc>
          <w:tcPr>
            <w:tcW w:w="1170" w:type="dxa"/>
            <w:vAlign w:val="center"/>
          </w:tcPr>
          <w:p w:rsidR="00592426" w:rsidRDefault="00592426" w:rsidP="00B223EA">
            <w:pPr>
              <w:jc w:val="center"/>
            </w:pPr>
            <w:r>
              <w:t>$75</w:t>
            </w:r>
          </w:p>
          <w:p w:rsidR="00B223EA" w:rsidRDefault="00B223EA" w:rsidP="00B223EA">
            <w:pPr>
              <w:jc w:val="center"/>
            </w:pPr>
          </w:p>
        </w:tc>
        <w:tc>
          <w:tcPr>
            <w:tcW w:w="1350" w:type="dxa"/>
            <w:vAlign w:val="center"/>
          </w:tcPr>
          <w:p w:rsidR="00592426" w:rsidRDefault="00592426" w:rsidP="00B223EA">
            <w:pPr>
              <w:jc w:val="center"/>
            </w:pPr>
            <w:r>
              <w:t>$120</w:t>
            </w:r>
          </w:p>
          <w:p w:rsidR="00B223EA" w:rsidRDefault="00B223EA" w:rsidP="00B223EA">
            <w:pPr>
              <w:jc w:val="center"/>
            </w:pPr>
          </w:p>
        </w:tc>
      </w:tr>
    </w:tbl>
    <w:p w:rsidR="00592426" w:rsidRDefault="00592426">
      <w:pPr>
        <w:ind w:left="360"/>
        <w:jc w:val="center"/>
      </w:pPr>
    </w:p>
    <w:p w:rsidR="00592426" w:rsidRDefault="00592426">
      <w:pPr>
        <w:ind w:left="360"/>
        <w:jc w:val="both"/>
      </w:pPr>
      <w:r>
        <w:t xml:space="preserve">The </w:t>
      </w:r>
      <w:r w:rsidR="00B223EA">
        <w:t xml:space="preserve">initial plant </w:t>
      </w:r>
      <w:r>
        <w:t>investment costs for Nucor would have to be lower than this net figure in order to steal share.  As a result, mills that have not yet modernized or choose not to update their technology are better targets for Nucor to steal share.</w:t>
      </w:r>
    </w:p>
    <w:p w:rsidR="00592426" w:rsidRDefault="00592426">
      <w:pPr>
        <w:ind w:left="360"/>
        <w:jc w:val="both"/>
      </w:pPr>
    </w:p>
    <w:p w:rsidR="00592426" w:rsidRDefault="00592426">
      <w:pPr>
        <w:numPr>
          <w:ilvl w:val="0"/>
          <w:numId w:val="23"/>
        </w:numPr>
        <w:jc w:val="both"/>
      </w:pPr>
      <w:r>
        <w:t>Project NPV and the Option Value of Investments</w:t>
      </w:r>
    </w:p>
    <w:p w:rsidR="00592426" w:rsidRDefault="00592426">
      <w:pPr>
        <w:ind w:left="360"/>
        <w:jc w:val="center"/>
      </w:pPr>
    </w:p>
    <w:p w:rsidR="00592426" w:rsidRDefault="00592426">
      <w:pPr>
        <w:ind w:left="360"/>
        <w:jc w:val="both"/>
      </w:pPr>
      <w:r>
        <w:t xml:space="preserve">There is a great deal of uncertainty regarding the thin-slab casting project, including technological issues, the behavior of competitors, and macroeconomic trends.  In addition, demand in the flat sheet segment may lag further, input (scrap) prices may change and the new process may be "leapfrogged" by other technologies.  A complete quantitative evaluation of the investment opportunity would have to factor in these additional risks.  We must also assign some value to decreases in costs on </w:t>
      </w:r>
      <w:r>
        <w:rPr>
          <w:b/>
        </w:rPr>
        <w:t>subsequent investment projects</w:t>
      </w:r>
      <w:r>
        <w:t xml:space="preserve"> due to undertaking this project.</w:t>
      </w:r>
    </w:p>
    <w:p w:rsidR="00592426" w:rsidRDefault="00592426">
      <w:pPr>
        <w:ind w:left="360"/>
        <w:jc w:val="both"/>
      </w:pPr>
    </w:p>
    <w:p w:rsidR="00592426" w:rsidRDefault="00592426">
      <w:pPr>
        <w:numPr>
          <w:ilvl w:val="0"/>
          <w:numId w:val="39"/>
        </w:numPr>
        <w:tabs>
          <w:tab w:val="clear" w:pos="360"/>
          <w:tab w:val="num" w:pos="720"/>
        </w:tabs>
        <w:ind w:left="720"/>
        <w:jc w:val="both"/>
      </w:pPr>
      <w:r>
        <w:t>Since the process is so risky, why not wait?  In other words, how do we compare the current opportunity with the option value of waiting to invest?  Cash flows may change over time as a result of additional competition, or due to experience yielding opportunity cost improvements.</w:t>
      </w:r>
    </w:p>
    <w:p w:rsidR="00592426" w:rsidRDefault="00592426">
      <w:pPr>
        <w:jc w:val="both"/>
      </w:pPr>
    </w:p>
    <w:p w:rsidR="00592426" w:rsidRDefault="00592426">
      <w:pPr>
        <w:numPr>
          <w:ilvl w:val="0"/>
          <w:numId w:val="40"/>
        </w:numPr>
        <w:tabs>
          <w:tab w:val="clear" w:pos="360"/>
          <w:tab w:val="num" w:pos="720"/>
        </w:tabs>
        <w:ind w:left="720"/>
        <w:jc w:val="both"/>
      </w:pPr>
      <w:r>
        <w:t xml:space="preserve">One important consideration </w:t>
      </w:r>
      <w:r w:rsidR="00B223EA">
        <w:t xml:space="preserve">is the learning curve.  It is important to carefully consider whether you think Nucor’s traditional resources and capabilities would generate similar learning curve for the flat sheet market as it did in the structural shapes/bars market.  If so, moving earlier gets Nucor down the learning curve more quickly </w:t>
      </w:r>
      <w:r w:rsidR="00147590">
        <w:t>–</w:t>
      </w:r>
      <w:r w:rsidR="00B223EA">
        <w:t xml:space="preserve"> </w:t>
      </w:r>
      <w:r w:rsidR="00147590">
        <w:t>they can steal more share from incumbents and make it even less attractive for potential entrants.  We hypothesized that, given the nature of Nucor’s resources and capabilities, they would learn (and enjoy productivity improvements) much faster by doing their own production than by being a second-mover and watching to see whether the technology works.  Of course, in this case, there are unique risks associated with being the first mover…</w:t>
      </w:r>
    </w:p>
    <w:p w:rsidR="00592426" w:rsidRDefault="00592426">
      <w:pPr>
        <w:jc w:val="both"/>
      </w:pPr>
    </w:p>
    <w:p w:rsidR="00592426" w:rsidRDefault="00592426">
      <w:pPr>
        <w:numPr>
          <w:ilvl w:val="0"/>
          <w:numId w:val="41"/>
        </w:numPr>
        <w:tabs>
          <w:tab w:val="clear" w:pos="360"/>
          <w:tab w:val="num" w:pos="720"/>
        </w:tabs>
        <w:ind w:left="720"/>
        <w:jc w:val="both"/>
      </w:pPr>
      <w:r>
        <w:t>Finally, recall how Nucor's plant investment strategy facilitates sharing among projects.  This increases the value of going forward with the investment, as future options (opportunities to invest) would look better — lower investment costs/greater productivity for subsequent projects.</w:t>
      </w:r>
    </w:p>
    <w:p w:rsidR="00CE1B14" w:rsidRDefault="00CE1B14" w:rsidP="00CE1B14">
      <w:pPr>
        <w:jc w:val="both"/>
      </w:pPr>
    </w:p>
    <w:p w:rsidR="00CE1B14" w:rsidRDefault="00CE1B14" w:rsidP="00CE1B14">
      <w:pPr>
        <w:numPr>
          <w:ilvl w:val="0"/>
          <w:numId w:val="37"/>
        </w:numPr>
        <w:jc w:val="both"/>
      </w:pPr>
      <w:r>
        <w:t xml:space="preserve">To the extent that additional adopters of the SMS technology would make the project less profitable (due to higher scrap prices or reduction of revenue), adopting earlier would be an advantage for Nucor.  </w:t>
      </w:r>
      <w:r w:rsidR="0070410B">
        <w:t>If additional competition</w:t>
      </w:r>
      <w:r>
        <w:t xml:space="preserve"> would result in higher scrap prices, the potential entrant would be unprofitable as well — anticipating this, it would be unwise to enter, leaving the first mover in the market (with reasonable prices for the key input).</w:t>
      </w:r>
      <w:r w:rsidR="005C6E89">
        <w:t xml:space="preserve">  </w:t>
      </w:r>
      <w:r w:rsidR="00147590">
        <w:t>Either way, Nucor has a big buffer – because no minimills have entered the flat sheet market as of yet, there is plenty of high cost capacity for new minimill entrants to supplant.  Only if Nucor is the highest costs capacity supplying the market demand would additional entry drive them out of the flat sheet market.</w:t>
      </w:r>
    </w:p>
    <w:sectPr w:rsidR="00CE1B14" w:rsidSect="00AF4315">
      <w:headerReference w:type="default" r:id="rId7"/>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3808" w:rsidRDefault="00593808">
      <w:r>
        <w:separator/>
      </w:r>
    </w:p>
  </w:endnote>
  <w:endnote w:type="continuationSeparator" w:id="1">
    <w:p w:rsidR="00593808" w:rsidRDefault="005938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3808" w:rsidRDefault="00593808">
      <w:r>
        <w:separator/>
      </w:r>
    </w:p>
  </w:footnote>
  <w:footnote w:type="continuationSeparator" w:id="1">
    <w:p w:rsidR="00593808" w:rsidRDefault="005938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nil"/>
        <w:left w:val="nil"/>
        <w:bottom w:val="nil"/>
        <w:right w:val="nil"/>
        <w:insideH w:val="nil"/>
        <w:insideV w:val="nil"/>
      </w:tblBorders>
      <w:tblLayout w:type="fixed"/>
      <w:tblLook w:val="00AE"/>
    </w:tblPr>
    <w:tblGrid>
      <w:gridCol w:w="4428"/>
      <w:gridCol w:w="4428"/>
    </w:tblGrid>
    <w:tr w:rsidR="00592426">
      <w:tc>
        <w:tcPr>
          <w:tcW w:w="4428" w:type="dxa"/>
        </w:tcPr>
        <w:p w:rsidR="00592426" w:rsidRDefault="00DC7E7A">
          <w:pPr>
            <w:pStyle w:val="Header"/>
          </w:pPr>
          <w:r>
            <w:t>Management &amp; Strategy 431</w:t>
          </w:r>
        </w:p>
      </w:tc>
      <w:tc>
        <w:tcPr>
          <w:tcW w:w="4428" w:type="dxa"/>
        </w:tcPr>
        <w:p w:rsidR="00592426" w:rsidRDefault="00DC7E7A">
          <w:pPr>
            <w:pStyle w:val="Header"/>
            <w:jc w:val="right"/>
          </w:pPr>
          <w:r>
            <w:t>Fall</w:t>
          </w:r>
          <w:r w:rsidR="00B223EA">
            <w:t xml:space="preserve"> 2008</w:t>
          </w:r>
          <w:r w:rsidR="00A21530">
            <w:t xml:space="preserve"> — Sections</w:t>
          </w:r>
          <w:r w:rsidR="006F7128">
            <w:t xml:space="preserve"> </w:t>
          </w:r>
          <w:r w:rsidR="00A21530">
            <w:t>6</w:t>
          </w:r>
          <w:r>
            <w:t>2, 63 &amp; 64</w:t>
          </w:r>
        </w:p>
      </w:tc>
    </w:tr>
    <w:tr w:rsidR="00592426">
      <w:tc>
        <w:tcPr>
          <w:tcW w:w="4428" w:type="dxa"/>
        </w:tcPr>
        <w:p w:rsidR="00592426" w:rsidRDefault="00592426">
          <w:pPr>
            <w:pStyle w:val="Header"/>
          </w:pPr>
          <w:r>
            <w:t>Professor Mazzeo</w:t>
          </w:r>
        </w:p>
      </w:tc>
      <w:tc>
        <w:tcPr>
          <w:tcW w:w="4428" w:type="dxa"/>
        </w:tcPr>
        <w:p w:rsidR="00592426" w:rsidRDefault="00B223EA">
          <w:pPr>
            <w:pStyle w:val="Header"/>
            <w:jc w:val="right"/>
          </w:pPr>
          <w:r>
            <w:t>Topic 1</w:t>
          </w:r>
          <w:r w:rsidR="0015586F">
            <w:t>.4</w:t>
          </w:r>
          <w:r w:rsidR="00592426">
            <w:t>:  Case Summary</w:t>
          </w:r>
        </w:p>
      </w:tc>
    </w:tr>
  </w:tbl>
  <w:p w:rsidR="00592426" w:rsidRDefault="0059242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F50A7"/>
    <w:multiLevelType w:val="singleLevel"/>
    <w:tmpl w:val="04090013"/>
    <w:lvl w:ilvl="0">
      <w:start w:val="1"/>
      <w:numFmt w:val="upperRoman"/>
      <w:lvlText w:val="%1."/>
      <w:lvlJc w:val="left"/>
      <w:pPr>
        <w:tabs>
          <w:tab w:val="num" w:pos="720"/>
        </w:tabs>
        <w:ind w:left="720" w:hanging="720"/>
      </w:pPr>
      <w:rPr>
        <w:rFonts w:hint="default"/>
      </w:rPr>
    </w:lvl>
  </w:abstractNum>
  <w:abstractNum w:abstractNumId="1">
    <w:nsid w:val="0B9C0E7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0CEA234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0D40023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121A2B9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13E84F97"/>
    <w:multiLevelType w:val="singleLevel"/>
    <w:tmpl w:val="04090015"/>
    <w:lvl w:ilvl="0">
      <w:start w:val="1"/>
      <w:numFmt w:val="upperLetter"/>
      <w:lvlText w:val="%1."/>
      <w:lvlJc w:val="left"/>
      <w:pPr>
        <w:tabs>
          <w:tab w:val="num" w:pos="360"/>
        </w:tabs>
        <w:ind w:left="360" w:hanging="360"/>
      </w:pPr>
      <w:rPr>
        <w:rFonts w:hint="default"/>
      </w:rPr>
    </w:lvl>
  </w:abstractNum>
  <w:abstractNum w:abstractNumId="6">
    <w:nsid w:val="14FE18CD"/>
    <w:multiLevelType w:val="singleLevel"/>
    <w:tmpl w:val="04090015"/>
    <w:lvl w:ilvl="0">
      <w:start w:val="1"/>
      <w:numFmt w:val="upperLetter"/>
      <w:lvlText w:val="%1."/>
      <w:lvlJc w:val="left"/>
      <w:pPr>
        <w:tabs>
          <w:tab w:val="num" w:pos="360"/>
        </w:tabs>
        <w:ind w:left="360" w:hanging="360"/>
      </w:pPr>
      <w:rPr>
        <w:rFonts w:hint="default"/>
      </w:rPr>
    </w:lvl>
  </w:abstractNum>
  <w:abstractNum w:abstractNumId="7">
    <w:nsid w:val="17FE339A"/>
    <w:multiLevelType w:val="singleLevel"/>
    <w:tmpl w:val="0ED20F8A"/>
    <w:lvl w:ilvl="0">
      <w:start w:val="1"/>
      <w:numFmt w:val="bullet"/>
      <w:lvlText w:val=""/>
      <w:lvlJc w:val="left"/>
      <w:pPr>
        <w:tabs>
          <w:tab w:val="num" w:pos="360"/>
        </w:tabs>
        <w:ind w:left="360" w:hanging="360"/>
      </w:pPr>
      <w:rPr>
        <w:rFonts w:ascii="Symbol" w:hAnsi="Symbol" w:hint="default"/>
      </w:rPr>
    </w:lvl>
  </w:abstractNum>
  <w:abstractNum w:abstractNumId="8">
    <w:nsid w:val="1CCB4872"/>
    <w:multiLevelType w:val="singleLevel"/>
    <w:tmpl w:val="04090013"/>
    <w:lvl w:ilvl="0">
      <w:start w:val="1"/>
      <w:numFmt w:val="upperRoman"/>
      <w:lvlText w:val="%1."/>
      <w:lvlJc w:val="left"/>
      <w:pPr>
        <w:tabs>
          <w:tab w:val="num" w:pos="720"/>
        </w:tabs>
        <w:ind w:left="720" w:hanging="720"/>
      </w:pPr>
      <w:rPr>
        <w:rFonts w:hint="default"/>
      </w:rPr>
    </w:lvl>
  </w:abstractNum>
  <w:abstractNum w:abstractNumId="9">
    <w:nsid w:val="213403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21AA381B"/>
    <w:multiLevelType w:val="singleLevel"/>
    <w:tmpl w:val="04090015"/>
    <w:lvl w:ilvl="0">
      <w:start w:val="1"/>
      <w:numFmt w:val="upperLetter"/>
      <w:lvlText w:val="%1."/>
      <w:lvlJc w:val="left"/>
      <w:pPr>
        <w:tabs>
          <w:tab w:val="num" w:pos="360"/>
        </w:tabs>
        <w:ind w:left="360" w:hanging="360"/>
      </w:pPr>
      <w:rPr>
        <w:rFonts w:hint="default"/>
      </w:rPr>
    </w:lvl>
  </w:abstractNum>
  <w:abstractNum w:abstractNumId="11">
    <w:nsid w:val="21F61798"/>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2">
    <w:nsid w:val="26E72253"/>
    <w:multiLevelType w:val="singleLevel"/>
    <w:tmpl w:val="0409000F"/>
    <w:lvl w:ilvl="0">
      <w:start w:val="1"/>
      <w:numFmt w:val="decimal"/>
      <w:lvlText w:val="%1."/>
      <w:lvlJc w:val="left"/>
      <w:pPr>
        <w:tabs>
          <w:tab w:val="num" w:pos="360"/>
        </w:tabs>
        <w:ind w:left="360" w:hanging="360"/>
      </w:pPr>
      <w:rPr>
        <w:rFonts w:hint="default"/>
      </w:rPr>
    </w:lvl>
  </w:abstractNum>
  <w:abstractNum w:abstractNumId="13">
    <w:nsid w:val="2D915743"/>
    <w:multiLevelType w:val="singleLevel"/>
    <w:tmpl w:val="04090015"/>
    <w:lvl w:ilvl="0">
      <w:start w:val="1"/>
      <w:numFmt w:val="upperLetter"/>
      <w:lvlText w:val="%1."/>
      <w:lvlJc w:val="left"/>
      <w:pPr>
        <w:tabs>
          <w:tab w:val="num" w:pos="360"/>
        </w:tabs>
        <w:ind w:left="360" w:hanging="360"/>
      </w:pPr>
      <w:rPr>
        <w:rFonts w:hint="default"/>
      </w:rPr>
    </w:lvl>
  </w:abstractNum>
  <w:abstractNum w:abstractNumId="14">
    <w:nsid w:val="2F337F8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32760E11"/>
    <w:multiLevelType w:val="singleLevel"/>
    <w:tmpl w:val="04090015"/>
    <w:lvl w:ilvl="0">
      <w:start w:val="1"/>
      <w:numFmt w:val="upperLetter"/>
      <w:lvlText w:val="%1."/>
      <w:lvlJc w:val="left"/>
      <w:pPr>
        <w:tabs>
          <w:tab w:val="num" w:pos="360"/>
        </w:tabs>
        <w:ind w:left="360" w:hanging="360"/>
      </w:pPr>
      <w:rPr>
        <w:rFonts w:hint="default"/>
      </w:rPr>
    </w:lvl>
  </w:abstractNum>
  <w:abstractNum w:abstractNumId="16">
    <w:nsid w:val="3C6477FC"/>
    <w:multiLevelType w:val="singleLevel"/>
    <w:tmpl w:val="04090013"/>
    <w:lvl w:ilvl="0">
      <w:start w:val="1"/>
      <w:numFmt w:val="upperRoman"/>
      <w:lvlText w:val="%1."/>
      <w:lvlJc w:val="left"/>
      <w:pPr>
        <w:tabs>
          <w:tab w:val="num" w:pos="720"/>
        </w:tabs>
        <w:ind w:left="720" w:hanging="720"/>
      </w:pPr>
      <w:rPr>
        <w:rFonts w:hint="default"/>
      </w:rPr>
    </w:lvl>
  </w:abstractNum>
  <w:abstractNum w:abstractNumId="17">
    <w:nsid w:val="3E2F565E"/>
    <w:multiLevelType w:val="singleLevel"/>
    <w:tmpl w:val="04090013"/>
    <w:lvl w:ilvl="0">
      <w:start w:val="1"/>
      <w:numFmt w:val="upperRoman"/>
      <w:lvlText w:val="%1."/>
      <w:lvlJc w:val="left"/>
      <w:pPr>
        <w:tabs>
          <w:tab w:val="num" w:pos="720"/>
        </w:tabs>
        <w:ind w:left="720" w:hanging="720"/>
      </w:pPr>
      <w:rPr>
        <w:rFonts w:hint="default"/>
      </w:rPr>
    </w:lvl>
  </w:abstractNum>
  <w:abstractNum w:abstractNumId="18">
    <w:nsid w:val="43A679EC"/>
    <w:multiLevelType w:val="singleLevel"/>
    <w:tmpl w:val="0409000F"/>
    <w:lvl w:ilvl="0">
      <w:start w:val="1"/>
      <w:numFmt w:val="decimal"/>
      <w:lvlText w:val="%1."/>
      <w:lvlJc w:val="left"/>
      <w:pPr>
        <w:tabs>
          <w:tab w:val="num" w:pos="360"/>
        </w:tabs>
        <w:ind w:left="360" w:hanging="360"/>
      </w:pPr>
      <w:rPr>
        <w:rFonts w:hint="default"/>
      </w:rPr>
    </w:lvl>
  </w:abstractNum>
  <w:abstractNum w:abstractNumId="19">
    <w:nsid w:val="446E654D"/>
    <w:multiLevelType w:val="singleLevel"/>
    <w:tmpl w:val="0409000F"/>
    <w:lvl w:ilvl="0">
      <w:numFmt w:val="decimal"/>
      <w:lvlText w:val="%1."/>
      <w:lvlJc w:val="left"/>
      <w:pPr>
        <w:tabs>
          <w:tab w:val="num" w:pos="360"/>
        </w:tabs>
        <w:ind w:left="360" w:hanging="360"/>
      </w:pPr>
      <w:rPr>
        <w:rFonts w:hint="default"/>
      </w:rPr>
    </w:lvl>
  </w:abstractNum>
  <w:abstractNum w:abstractNumId="20">
    <w:nsid w:val="456D34EB"/>
    <w:multiLevelType w:val="singleLevel"/>
    <w:tmpl w:val="0ED20F8A"/>
    <w:lvl w:ilvl="0">
      <w:start w:val="1"/>
      <w:numFmt w:val="bullet"/>
      <w:lvlText w:val=""/>
      <w:lvlJc w:val="left"/>
      <w:pPr>
        <w:tabs>
          <w:tab w:val="num" w:pos="360"/>
        </w:tabs>
        <w:ind w:left="360" w:hanging="360"/>
      </w:pPr>
      <w:rPr>
        <w:rFonts w:ascii="Symbol" w:hAnsi="Symbol" w:hint="default"/>
      </w:rPr>
    </w:lvl>
  </w:abstractNum>
  <w:abstractNum w:abstractNumId="21">
    <w:nsid w:val="467073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nsid w:val="47C400C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nsid w:val="496F5B8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nsid w:val="4BF7080D"/>
    <w:multiLevelType w:val="singleLevel"/>
    <w:tmpl w:val="F77E272A"/>
    <w:lvl w:ilvl="0">
      <w:start w:val="1"/>
      <w:numFmt w:val="decimal"/>
      <w:lvlText w:val="%1."/>
      <w:lvlJc w:val="left"/>
      <w:pPr>
        <w:tabs>
          <w:tab w:val="num" w:pos="720"/>
        </w:tabs>
        <w:ind w:left="720" w:hanging="360"/>
      </w:pPr>
      <w:rPr>
        <w:rFonts w:hint="default"/>
      </w:rPr>
    </w:lvl>
  </w:abstractNum>
  <w:abstractNum w:abstractNumId="25">
    <w:nsid w:val="4C5C3CF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nsid w:val="588531CD"/>
    <w:multiLevelType w:val="singleLevel"/>
    <w:tmpl w:val="0ED20F8A"/>
    <w:lvl w:ilvl="0">
      <w:start w:val="1"/>
      <w:numFmt w:val="bullet"/>
      <w:lvlText w:val=""/>
      <w:lvlJc w:val="left"/>
      <w:pPr>
        <w:tabs>
          <w:tab w:val="num" w:pos="360"/>
        </w:tabs>
        <w:ind w:left="360" w:hanging="360"/>
      </w:pPr>
      <w:rPr>
        <w:rFonts w:ascii="Symbol" w:hAnsi="Symbol" w:hint="default"/>
      </w:rPr>
    </w:lvl>
  </w:abstractNum>
  <w:abstractNum w:abstractNumId="27">
    <w:nsid w:val="5A5C4CAD"/>
    <w:multiLevelType w:val="singleLevel"/>
    <w:tmpl w:val="0409000F"/>
    <w:lvl w:ilvl="0">
      <w:numFmt w:val="decimal"/>
      <w:lvlText w:val="%1."/>
      <w:lvlJc w:val="left"/>
      <w:pPr>
        <w:tabs>
          <w:tab w:val="num" w:pos="360"/>
        </w:tabs>
        <w:ind w:left="360" w:hanging="360"/>
      </w:pPr>
      <w:rPr>
        <w:rFonts w:hint="default"/>
      </w:rPr>
    </w:lvl>
  </w:abstractNum>
  <w:abstractNum w:abstractNumId="28">
    <w:nsid w:val="5A652A1D"/>
    <w:multiLevelType w:val="singleLevel"/>
    <w:tmpl w:val="93606296"/>
    <w:lvl w:ilvl="0">
      <w:start w:val="1"/>
      <w:numFmt w:val="upperLetter"/>
      <w:lvlText w:val="%1."/>
      <w:lvlJc w:val="left"/>
      <w:pPr>
        <w:tabs>
          <w:tab w:val="num" w:pos="720"/>
        </w:tabs>
        <w:ind w:left="720" w:hanging="360"/>
      </w:pPr>
      <w:rPr>
        <w:rFonts w:hint="default"/>
      </w:rPr>
    </w:lvl>
  </w:abstractNum>
  <w:abstractNum w:abstractNumId="29">
    <w:nsid w:val="5DEA23BA"/>
    <w:multiLevelType w:val="singleLevel"/>
    <w:tmpl w:val="04090013"/>
    <w:lvl w:ilvl="0">
      <w:start w:val="1"/>
      <w:numFmt w:val="upperRoman"/>
      <w:lvlText w:val="%1."/>
      <w:lvlJc w:val="left"/>
      <w:pPr>
        <w:tabs>
          <w:tab w:val="num" w:pos="720"/>
        </w:tabs>
        <w:ind w:left="720" w:hanging="720"/>
      </w:pPr>
      <w:rPr>
        <w:rFonts w:hint="default"/>
      </w:rPr>
    </w:lvl>
  </w:abstractNum>
  <w:abstractNum w:abstractNumId="30">
    <w:nsid w:val="5EC62578"/>
    <w:multiLevelType w:val="singleLevel"/>
    <w:tmpl w:val="04090013"/>
    <w:lvl w:ilvl="0">
      <w:start w:val="1"/>
      <w:numFmt w:val="upperRoman"/>
      <w:lvlText w:val="%1."/>
      <w:lvlJc w:val="left"/>
      <w:pPr>
        <w:tabs>
          <w:tab w:val="num" w:pos="720"/>
        </w:tabs>
        <w:ind w:left="720" w:hanging="720"/>
      </w:pPr>
      <w:rPr>
        <w:rFonts w:hint="default"/>
      </w:rPr>
    </w:lvl>
  </w:abstractNum>
  <w:abstractNum w:abstractNumId="31">
    <w:nsid w:val="5EE2545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nsid w:val="64E7398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nsid w:val="690C3DB5"/>
    <w:multiLevelType w:val="singleLevel"/>
    <w:tmpl w:val="04090015"/>
    <w:lvl w:ilvl="0">
      <w:start w:val="1"/>
      <w:numFmt w:val="upperLetter"/>
      <w:lvlText w:val="%1."/>
      <w:lvlJc w:val="left"/>
      <w:pPr>
        <w:tabs>
          <w:tab w:val="num" w:pos="360"/>
        </w:tabs>
        <w:ind w:left="360" w:hanging="360"/>
      </w:pPr>
      <w:rPr>
        <w:rFonts w:hint="default"/>
      </w:rPr>
    </w:lvl>
  </w:abstractNum>
  <w:abstractNum w:abstractNumId="34">
    <w:nsid w:val="6CB34C07"/>
    <w:multiLevelType w:val="singleLevel"/>
    <w:tmpl w:val="04090015"/>
    <w:lvl w:ilvl="0">
      <w:start w:val="1"/>
      <w:numFmt w:val="upperLetter"/>
      <w:lvlText w:val="%1."/>
      <w:lvlJc w:val="left"/>
      <w:pPr>
        <w:tabs>
          <w:tab w:val="num" w:pos="360"/>
        </w:tabs>
        <w:ind w:left="360" w:hanging="360"/>
      </w:pPr>
      <w:rPr>
        <w:rFonts w:hint="default"/>
      </w:rPr>
    </w:lvl>
  </w:abstractNum>
  <w:abstractNum w:abstractNumId="35">
    <w:nsid w:val="6FD0478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7352660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7BD44084"/>
    <w:multiLevelType w:val="singleLevel"/>
    <w:tmpl w:val="1FE87C58"/>
    <w:lvl w:ilvl="0">
      <w:numFmt w:val="bullet"/>
      <w:lvlText w:val=""/>
      <w:lvlJc w:val="left"/>
      <w:pPr>
        <w:tabs>
          <w:tab w:val="num" w:pos="720"/>
        </w:tabs>
        <w:ind w:left="720" w:hanging="360"/>
      </w:pPr>
      <w:rPr>
        <w:rFonts w:ascii="Symbol" w:hAnsi="Symbol" w:hint="default"/>
      </w:rPr>
    </w:lvl>
  </w:abstractNum>
  <w:abstractNum w:abstractNumId="38">
    <w:nsid w:val="7CE52C30"/>
    <w:multiLevelType w:val="singleLevel"/>
    <w:tmpl w:val="0409000F"/>
    <w:lvl w:ilvl="0">
      <w:start w:val="1"/>
      <w:numFmt w:val="decimal"/>
      <w:lvlText w:val="%1."/>
      <w:lvlJc w:val="left"/>
      <w:pPr>
        <w:tabs>
          <w:tab w:val="num" w:pos="360"/>
        </w:tabs>
        <w:ind w:left="360" w:hanging="360"/>
      </w:pPr>
      <w:rPr>
        <w:rFonts w:hint="default"/>
      </w:rPr>
    </w:lvl>
  </w:abstractNum>
  <w:abstractNum w:abstractNumId="39">
    <w:nsid w:val="7E4159F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
    <w:nsid w:val="7E5C5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nsid w:val="7EB25664"/>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27"/>
  </w:num>
  <w:num w:numId="2">
    <w:abstractNumId w:val="29"/>
  </w:num>
  <w:num w:numId="3">
    <w:abstractNumId w:val="16"/>
  </w:num>
  <w:num w:numId="4">
    <w:abstractNumId w:val="19"/>
  </w:num>
  <w:num w:numId="5">
    <w:abstractNumId w:val="6"/>
  </w:num>
  <w:num w:numId="6">
    <w:abstractNumId w:val="10"/>
  </w:num>
  <w:num w:numId="7">
    <w:abstractNumId w:val="30"/>
  </w:num>
  <w:num w:numId="8">
    <w:abstractNumId w:val="12"/>
  </w:num>
  <w:num w:numId="9">
    <w:abstractNumId w:val="5"/>
  </w:num>
  <w:num w:numId="10">
    <w:abstractNumId w:val="8"/>
  </w:num>
  <w:num w:numId="11">
    <w:abstractNumId w:val="0"/>
  </w:num>
  <w:num w:numId="12">
    <w:abstractNumId w:val="34"/>
  </w:num>
  <w:num w:numId="13">
    <w:abstractNumId w:val="40"/>
  </w:num>
  <w:num w:numId="14">
    <w:abstractNumId w:val="21"/>
  </w:num>
  <w:num w:numId="15">
    <w:abstractNumId w:val="36"/>
  </w:num>
  <w:num w:numId="16">
    <w:abstractNumId w:val="13"/>
  </w:num>
  <w:num w:numId="17">
    <w:abstractNumId w:val="18"/>
  </w:num>
  <w:num w:numId="18">
    <w:abstractNumId w:val="38"/>
  </w:num>
  <w:num w:numId="19">
    <w:abstractNumId w:val="28"/>
  </w:num>
  <w:num w:numId="20">
    <w:abstractNumId w:val="32"/>
  </w:num>
  <w:num w:numId="21">
    <w:abstractNumId w:val="2"/>
  </w:num>
  <w:num w:numId="22">
    <w:abstractNumId w:val="14"/>
  </w:num>
  <w:num w:numId="23">
    <w:abstractNumId w:val="17"/>
  </w:num>
  <w:num w:numId="24">
    <w:abstractNumId w:val="3"/>
  </w:num>
  <w:num w:numId="25">
    <w:abstractNumId w:val="22"/>
  </w:num>
  <w:num w:numId="26">
    <w:abstractNumId w:val="31"/>
  </w:num>
  <w:num w:numId="27">
    <w:abstractNumId w:val="23"/>
  </w:num>
  <w:num w:numId="28">
    <w:abstractNumId w:val="35"/>
  </w:num>
  <w:num w:numId="29">
    <w:abstractNumId w:val="25"/>
  </w:num>
  <w:num w:numId="30">
    <w:abstractNumId w:val="1"/>
  </w:num>
  <w:num w:numId="31">
    <w:abstractNumId w:val="9"/>
  </w:num>
  <w:num w:numId="32">
    <w:abstractNumId w:val="15"/>
  </w:num>
  <w:num w:numId="33">
    <w:abstractNumId w:val="24"/>
  </w:num>
  <w:num w:numId="34">
    <w:abstractNumId w:val="39"/>
  </w:num>
  <w:num w:numId="35">
    <w:abstractNumId w:val="41"/>
  </w:num>
  <w:num w:numId="36">
    <w:abstractNumId w:val="4"/>
  </w:num>
  <w:num w:numId="37">
    <w:abstractNumId w:val="11"/>
  </w:num>
  <w:num w:numId="38">
    <w:abstractNumId w:val="33"/>
  </w:num>
  <w:num w:numId="39">
    <w:abstractNumId w:val="7"/>
  </w:num>
  <w:num w:numId="40">
    <w:abstractNumId w:val="26"/>
  </w:num>
  <w:num w:numId="41">
    <w:abstractNumId w:val="20"/>
  </w:num>
  <w:num w:numId="42">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E1B14"/>
    <w:rsid w:val="0010100E"/>
    <w:rsid w:val="00122AFF"/>
    <w:rsid w:val="00147590"/>
    <w:rsid w:val="0015586F"/>
    <w:rsid w:val="00473AA3"/>
    <w:rsid w:val="004E7147"/>
    <w:rsid w:val="00592426"/>
    <w:rsid w:val="00593808"/>
    <w:rsid w:val="005C6E89"/>
    <w:rsid w:val="0062781D"/>
    <w:rsid w:val="006E5BCC"/>
    <w:rsid w:val="006F7128"/>
    <w:rsid w:val="0070410B"/>
    <w:rsid w:val="007F5AD3"/>
    <w:rsid w:val="00A21530"/>
    <w:rsid w:val="00AB10F6"/>
    <w:rsid w:val="00AF4315"/>
    <w:rsid w:val="00B223EA"/>
    <w:rsid w:val="00B70FDA"/>
    <w:rsid w:val="00CE1B14"/>
    <w:rsid w:val="00D72A24"/>
    <w:rsid w:val="00DC7E7A"/>
    <w:rsid w:val="00E632BA"/>
    <w:rsid w:val="00F220A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4315"/>
  </w:style>
  <w:style w:type="paragraph" w:styleId="Heading1">
    <w:name w:val="heading 1"/>
    <w:basedOn w:val="Normal"/>
    <w:next w:val="Normal"/>
    <w:qFormat/>
    <w:rsid w:val="00AF4315"/>
    <w:pPr>
      <w:keepNext/>
      <w:outlineLvl w:val="0"/>
    </w:pPr>
    <w:rPr>
      <w:u w:val="single"/>
    </w:rPr>
  </w:style>
  <w:style w:type="paragraph" w:styleId="Heading2">
    <w:name w:val="heading 2"/>
    <w:basedOn w:val="Normal"/>
    <w:next w:val="Normal"/>
    <w:qFormat/>
    <w:rsid w:val="00AF4315"/>
    <w:pPr>
      <w:keepNext/>
      <w:ind w:left="720"/>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F4315"/>
    <w:pPr>
      <w:jc w:val="both"/>
    </w:pPr>
  </w:style>
  <w:style w:type="paragraph" w:styleId="Header">
    <w:name w:val="header"/>
    <w:basedOn w:val="Normal"/>
    <w:rsid w:val="00AF4315"/>
    <w:pPr>
      <w:tabs>
        <w:tab w:val="center" w:pos="4320"/>
        <w:tab w:val="right" w:pos="8640"/>
      </w:tabs>
    </w:pPr>
  </w:style>
  <w:style w:type="paragraph" w:styleId="Footer">
    <w:name w:val="footer"/>
    <w:basedOn w:val="Normal"/>
    <w:rsid w:val="00AF4315"/>
    <w:pPr>
      <w:tabs>
        <w:tab w:val="center" w:pos="4320"/>
        <w:tab w:val="right" w:pos="8640"/>
      </w:tabs>
    </w:pPr>
  </w:style>
  <w:style w:type="character" w:styleId="PageNumber">
    <w:name w:val="page number"/>
    <w:basedOn w:val="DefaultParagraphFont"/>
    <w:rsid w:val="00AF4315"/>
  </w:style>
  <w:style w:type="paragraph" w:styleId="FootnoteText">
    <w:name w:val="footnote text"/>
    <w:basedOn w:val="Normal"/>
    <w:semiHidden/>
    <w:rsid w:val="00AF4315"/>
  </w:style>
  <w:style w:type="character" w:styleId="FootnoteReference">
    <w:name w:val="footnote reference"/>
    <w:basedOn w:val="DefaultParagraphFont"/>
    <w:semiHidden/>
    <w:rsid w:val="00AF4315"/>
    <w:rPr>
      <w:vertAlign w:val="superscript"/>
    </w:rPr>
  </w:style>
  <w:style w:type="paragraph" w:styleId="BodyTextIndent">
    <w:name w:val="Body Text Indent"/>
    <w:basedOn w:val="Normal"/>
    <w:rsid w:val="00AF4315"/>
    <w:pPr>
      <w:ind w:left="720"/>
      <w:jc w:val="both"/>
    </w:pPr>
  </w:style>
  <w:style w:type="paragraph" w:styleId="BodyTextIndent2">
    <w:name w:val="Body Text Indent 2"/>
    <w:basedOn w:val="Normal"/>
    <w:rsid w:val="00AF4315"/>
    <w:pPr>
      <w:ind w:left="360"/>
      <w:jc w:val="both"/>
    </w:pPr>
  </w:style>
  <w:style w:type="paragraph" w:styleId="BodyText2">
    <w:name w:val="Body Text 2"/>
    <w:basedOn w:val="Normal"/>
    <w:rsid w:val="00AF4315"/>
    <w:pPr>
      <w:jc w:val="both"/>
    </w:pPr>
    <w:rPr>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1435</Words>
  <Characters>8185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Crown Cork and Seal — Case Discussion Preparation</vt:lpstr>
    </vt:vector>
  </TitlesOfParts>
  <Company>KGSM</Company>
  <LinksUpToDate>false</LinksUpToDate>
  <CharactersWithSpaces>9601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Crown Cork and Seal — Case Discussion Preparation</dc:title>
  <dc:subject/>
  <dc:creator>mma317</dc:creator>
  <cp:keywords/>
  <cp:lastModifiedBy>mma317</cp:lastModifiedBy>
  <cp:revision>3</cp:revision>
  <cp:lastPrinted>2008-10-20T17:54:00Z</cp:lastPrinted>
  <dcterms:created xsi:type="dcterms:W3CDTF">2008-10-20T17:56:00Z</dcterms:created>
  <dcterms:modified xsi:type="dcterms:W3CDTF">2008-10-21T15:42:00Z</dcterms:modified>
</cp:coreProperties>
</file>