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481" w:rsidRDefault="005F6481">
      <w:pPr>
        <w:rPr>
          <w:b/>
          <w:snapToGrid w:val="0"/>
          <w:sz w:val="24"/>
        </w:rPr>
      </w:pPr>
    </w:p>
    <w:p w:rsidR="005F6481" w:rsidRDefault="009F6738">
      <w:pPr>
        <w:jc w:val="center"/>
        <w:rPr>
          <w:b/>
          <w:snapToGrid w:val="0"/>
          <w:sz w:val="24"/>
        </w:rPr>
      </w:pPr>
      <w:r>
        <w:rPr>
          <w:b/>
          <w:snapToGrid w:val="0"/>
          <w:sz w:val="24"/>
        </w:rPr>
        <w:t>Competitive Advantage</w:t>
      </w:r>
    </w:p>
    <w:p w:rsidR="005F6481" w:rsidRDefault="005F6481">
      <w:pPr>
        <w:jc w:val="center"/>
        <w:rPr>
          <w:b/>
          <w:snapToGrid w:val="0"/>
          <w:sz w:val="24"/>
        </w:rPr>
      </w:pPr>
    </w:p>
    <w:p w:rsidR="005F6481" w:rsidRDefault="009F6738">
      <w:pPr>
        <w:numPr>
          <w:ilvl w:val="0"/>
          <w:numId w:val="2"/>
        </w:numPr>
        <w:jc w:val="both"/>
        <w:rPr>
          <w:snapToGrid w:val="0"/>
        </w:rPr>
      </w:pPr>
      <w:r>
        <w:rPr>
          <w:snapToGrid w:val="0"/>
        </w:rPr>
        <w:t>A</w:t>
      </w:r>
      <w:r w:rsidR="00D262F6">
        <w:rPr>
          <w:snapToGrid w:val="0"/>
        </w:rPr>
        <w:t>nalysis</w:t>
      </w:r>
      <w:r>
        <w:rPr>
          <w:snapToGrid w:val="0"/>
        </w:rPr>
        <w:t xml:space="preserve"> of competitive advantage</w:t>
      </w:r>
      <w:r w:rsidR="00D262F6">
        <w:rPr>
          <w:snapToGrid w:val="0"/>
        </w:rPr>
        <w:t xml:space="preserve"> takes an individual fir</w:t>
      </w:r>
      <w:r w:rsidR="00C040ED">
        <w:rPr>
          <w:snapToGrid w:val="0"/>
        </w:rPr>
        <w:t>m as the point-of-departure.   It c</w:t>
      </w:r>
      <w:r w:rsidR="005F6481">
        <w:rPr>
          <w:snapToGrid w:val="0"/>
        </w:rPr>
        <w:t xml:space="preserve">an be used </w:t>
      </w:r>
      <w:r w:rsidR="00C040ED">
        <w:rPr>
          <w:snapToGrid w:val="0"/>
        </w:rPr>
        <w:t xml:space="preserve">to help explain within-industry performance heterogeneity and </w:t>
      </w:r>
      <w:r w:rsidR="00637595">
        <w:rPr>
          <w:snapToGrid w:val="0"/>
        </w:rPr>
        <w:t xml:space="preserve">to help managers identify </w:t>
      </w:r>
      <w:r w:rsidR="005F6481">
        <w:rPr>
          <w:snapToGrid w:val="0"/>
        </w:rPr>
        <w:t>the source of a firm's superior (or inferior) p</w:t>
      </w:r>
      <w:r w:rsidR="00C040ED">
        <w:rPr>
          <w:snapToGrid w:val="0"/>
        </w:rPr>
        <w:t>rofitability</w:t>
      </w:r>
      <w:r w:rsidR="005F6481">
        <w:rPr>
          <w:snapToGrid w:val="0"/>
        </w:rPr>
        <w:t>.</w:t>
      </w:r>
    </w:p>
    <w:p w:rsidR="005F6481" w:rsidRDefault="005F6481">
      <w:pPr>
        <w:jc w:val="both"/>
        <w:rPr>
          <w:snapToGrid w:val="0"/>
        </w:rPr>
      </w:pPr>
    </w:p>
    <w:p w:rsidR="005F6481" w:rsidRDefault="00C040ED">
      <w:pPr>
        <w:numPr>
          <w:ilvl w:val="0"/>
          <w:numId w:val="3"/>
        </w:numPr>
        <w:jc w:val="both"/>
        <w:rPr>
          <w:snapToGrid w:val="0"/>
        </w:rPr>
      </w:pPr>
      <w:r>
        <w:rPr>
          <w:snapToGrid w:val="0"/>
        </w:rPr>
        <w:t>As such, t</w:t>
      </w:r>
      <w:r w:rsidR="005F6481">
        <w:rPr>
          <w:snapToGrid w:val="0"/>
        </w:rPr>
        <w:t xml:space="preserve">he focus of </w:t>
      </w:r>
      <w:r w:rsidR="00D262F6">
        <w:rPr>
          <w:snapToGrid w:val="0"/>
        </w:rPr>
        <w:t xml:space="preserve">the </w:t>
      </w:r>
      <w:r w:rsidR="009F6738">
        <w:rPr>
          <w:snapToGrid w:val="0"/>
        </w:rPr>
        <w:t>here will be</w:t>
      </w:r>
      <w:r w:rsidR="005F6481">
        <w:rPr>
          <w:snapToGrid w:val="0"/>
        </w:rPr>
        <w:t xml:space="preserve"> on the individual firm, not its industry. We consider how the firm's "RESOURCES" </w:t>
      </w:r>
      <w:r>
        <w:rPr>
          <w:snapToGrid w:val="0"/>
        </w:rPr>
        <w:t>contribute</w:t>
      </w:r>
      <w:r w:rsidR="00D262F6">
        <w:rPr>
          <w:snapToGrid w:val="0"/>
        </w:rPr>
        <w:t xml:space="preserve"> to its (core) capabilities and how these capabilities </w:t>
      </w:r>
      <w:r w:rsidR="005F6481">
        <w:rPr>
          <w:snapToGrid w:val="0"/>
        </w:rPr>
        <w:t>explain its performance</w:t>
      </w:r>
      <w:r w:rsidR="00186DE8">
        <w:rPr>
          <w:snapToGrid w:val="0"/>
        </w:rPr>
        <w:t xml:space="preserve"> level</w:t>
      </w:r>
      <w:r w:rsidR="005F6481">
        <w:rPr>
          <w:snapToGrid w:val="0"/>
        </w:rPr>
        <w:t>. This contrasts with Porter's Five Forces framework, which considers the conditions that make an entire industry more or less profitable.</w:t>
      </w:r>
    </w:p>
    <w:p w:rsidR="005F6481" w:rsidRDefault="005F6481">
      <w:pPr>
        <w:jc w:val="both"/>
        <w:rPr>
          <w:snapToGrid w:val="0"/>
        </w:rPr>
      </w:pPr>
    </w:p>
    <w:p w:rsidR="005F6481" w:rsidRDefault="005F6481">
      <w:pPr>
        <w:numPr>
          <w:ilvl w:val="0"/>
          <w:numId w:val="4"/>
        </w:numPr>
        <w:jc w:val="both"/>
        <w:rPr>
          <w:snapToGrid w:val="0"/>
        </w:rPr>
      </w:pPr>
      <w:r>
        <w:rPr>
          <w:snapToGrid w:val="0"/>
        </w:rPr>
        <w:t>This note provides a summary of the</w:t>
      </w:r>
      <w:r w:rsidR="00D262F6">
        <w:rPr>
          <w:snapToGrid w:val="0"/>
        </w:rPr>
        <w:t xml:space="preserve"> </w:t>
      </w:r>
      <w:r w:rsidR="00186DE8">
        <w:rPr>
          <w:snapToGrid w:val="0"/>
        </w:rPr>
        <w:t>competitive advantage</w:t>
      </w:r>
      <w:r>
        <w:rPr>
          <w:snapToGrid w:val="0"/>
        </w:rPr>
        <w:t xml:space="preserve"> lecture, highlighting the components of </w:t>
      </w:r>
      <w:r w:rsidR="00637595">
        <w:rPr>
          <w:snapToGrid w:val="0"/>
        </w:rPr>
        <w:t>the framework</w:t>
      </w:r>
      <w:r>
        <w:rPr>
          <w:snapToGrid w:val="0"/>
        </w:rPr>
        <w:t xml:space="preserve"> and developing some additional examples.</w:t>
      </w:r>
    </w:p>
    <w:p w:rsidR="005F6481" w:rsidRDefault="005F6481">
      <w:pPr>
        <w:jc w:val="both"/>
        <w:rPr>
          <w:b/>
          <w:snapToGrid w:val="0"/>
          <w:sz w:val="22"/>
        </w:rPr>
      </w:pPr>
    </w:p>
    <w:p w:rsidR="005F6481" w:rsidRDefault="005F6481">
      <w:pPr>
        <w:jc w:val="both"/>
        <w:rPr>
          <w:b/>
          <w:snapToGrid w:val="0"/>
          <w:sz w:val="22"/>
        </w:rPr>
      </w:pPr>
    </w:p>
    <w:p w:rsidR="005F6481" w:rsidRDefault="005F6481">
      <w:pPr>
        <w:numPr>
          <w:ilvl w:val="0"/>
          <w:numId w:val="5"/>
        </w:numPr>
        <w:jc w:val="both"/>
        <w:rPr>
          <w:b/>
          <w:snapToGrid w:val="0"/>
          <w:sz w:val="22"/>
        </w:rPr>
      </w:pPr>
      <w:r>
        <w:rPr>
          <w:b/>
          <w:snapToGrid w:val="0"/>
          <w:sz w:val="22"/>
        </w:rPr>
        <w:t>Introduction</w:t>
      </w:r>
    </w:p>
    <w:p w:rsidR="005F6481" w:rsidRDefault="005F6481">
      <w:pPr>
        <w:jc w:val="both"/>
        <w:rPr>
          <w:b/>
          <w:snapToGrid w:val="0"/>
          <w:sz w:val="22"/>
        </w:rPr>
      </w:pPr>
    </w:p>
    <w:p w:rsidR="005F6481" w:rsidRPr="00186DE8" w:rsidRDefault="00186DE8" w:rsidP="00186DE8">
      <w:pPr>
        <w:numPr>
          <w:ilvl w:val="0"/>
          <w:numId w:val="6"/>
        </w:numPr>
        <w:jc w:val="both"/>
        <w:rPr>
          <w:snapToGrid w:val="0"/>
        </w:rPr>
      </w:pPr>
      <w:r w:rsidRPr="00186DE8">
        <w:rPr>
          <w:snapToGrid w:val="0"/>
        </w:rPr>
        <w:t xml:space="preserve">To start, we want to have a precise definition for competitive advantage: </w:t>
      </w:r>
      <w:r w:rsidRPr="00186DE8">
        <w:rPr>
          <w:i/>
          <w:snapToGrid w:val="0"/>
        </w:rPr>
        <w:t>the assets or capabilities that enable a firm to create or capture value better than existing or potential competitors</w:t>
      </w:r>
      <w:r w:rsidRPr="00186DE8">
        <w:rPr>
          <w:snapToGrid w:val="0"/>
        </w:rPr>
        <w:t>.</w:t>
      </w:r>
    </w:p>
    <w:p w:rsidR="005F6481" w:rsidRDefault="005F6481">
      <w:pPr>
        <w:jc w:val="both"/>
        <w:rPr>
          <w:snapToGrid w:val="0"/>
        </w:rPr>
      </w:pPr>
    </w:p>
    <w:p w:rsidR="005F6481" w:rsidRDefault="005F6481">
      <w:pPr>
        <w:numPr>
          <w:ilvl w:val="0"/>
          <w:numId w:val="7"/>
        </w:numPr>
        <w:jc w:val="both"/>
        <w:rPr>
          <w:snapToGrid w:val="0"/>
        </w:rPr>
      </w:pPr>
      <w:r>
        <w:rPr>
          <w:snapToGrid w:val="0"/>
        </w:rPr>
        <w:t xml:space="preserve">Think of these "resources" pretty generically.  They can really be anything that directly contributes to the quality, production costs, or other attributes of the good/service a firm produces.  Examples of resources could include </w:t>
      </w:r>
      <w:r w:rsidR="008625E3">
        <w:rPr>
          <w:snapToGrid w:val="0"/>
        </w:rPr>
        <w:t xml:space="preserve">tangible </w:t>
      </w:r>
      <w:r>
        <w:rPr>
          <w:snapToGrid w:val="0"/>
        </w:rPr>
        <w:t xml:space="preserve">things like location, </w:t>
      </w:r>
      <w:r w:rsidR="008625E3">
        <w:rPr>
          <w:snapToGrid w:val="0"/>
        </w:rPr>
        <w:t xml:space="preserve">physical plant/equipment, or product offerings as well as intangibles such as </w:t>
      </w:r>
      <w:r>
        <w:rPr>
          <w:snapToGrid w:val="0"/>
        </w:rPr>
        <w:t>bran</w:t>
      </w:r>
      <w:r w:rsidR="008625E3">
        <w:rPr>
          <w:snapToGrid w:val="0"/>
        </w:rPr>
        <w:t>d identity</w:t>
      </w:r>
      <w:r>
        <w:rPr>
          <w:snapToGrid w:val="0"/>
        </w:rPr>
        <w:t xml:space="preserve">, </w:t>
      </w:r>
      <w:r w:rsidR="008625E3">
        <w:rPr>
          <w:snapToGrid w:val="0"/>
        </w:rPr>
        <w:t>people/culture, relationships</w:t>
      </w:r>
      <w:r>
        <w:rPr>
          <w:snapToGrid w:val="0"/>
        </w:rPr>
        <w:t>, etc.</w:t>
      </w:r>
    </w:p>
    <w:p w:rsidR="005F6481" w:rsidRDefault="005F6481">
      <w:pPr>
        <w:jc w:val="both"/>
        <w:rPr>
          <w:snapToGrid w:val="0"/>
        </w:rPr>
      </w:pPr>
    </w:p>
    <w:p w:rsidR="005F6481" w:rsidRDefault="005F6481">
      <w:pPr>
        <w:numPr>
          <w:ilvl w:val="0"/>
          <w:numId w:val="8"/>
        </w:numPr>
        <w:jc w:val="both"/>
        <w:rPr>
          <w:snapToGrid w:val="0"/>
        </w:rPr>
      </w:pPr>
      <w:r>
        <w:rPr>
          <w:snapToGrid w:val="0"/>
        </w:rPr>
        <w:t xml:space="preserve">A key assumption </w:t>
      </w:r>
      <w:r w:rsidR="00637595">
        <w:rPr>
          <w:snapToGrid w:val="0"/>
        </w:rPr>
        <w:t>here</w:t>
      </w:r>
      <w:r>
        <w:rPr>
          <w:snapToGrid w:val="0"/>
        </w:rPr>
        <w:t xml:space="preserve"> involves the </w:t>
      </w:r>
      <w:r>
        <w:rPr>
          <w:b/>
          <w:snapToGrid w:val="0"/>
        </w:rPr>
        <w:t xml:space="preserve">heterogeneity </w:t>
      </w:r>
      <w:r>
        <w:rPr>
          <w:snapToGrid w:val="0"/>
        </w:rPr>
        <w:t xml:space="preserve">among firms in terms of the sets of resources they possess. All firms are different — even firms producing goods that are very close substitutes may produce them in very different ways. </w:t>
      </w:r>
      <w:r w:rsidR="00637595">
        <w:rPr>
          <w:snapToGrid w:val="0"/>
        </w:rPr>
        <w:t xml:space="preserve">We </w:t>
      </w:r>
      <w:r w:rsidR="00186DE8">
        <w:rPr>
          <w:snapToGrid w:val="0"/>
        </w:rPr>
        <w:t xml:space="preserve">need to </w:t>
      </w:r>
      <w:r w:rsidR="00637595">
        <w:rPr>
          <w:snapToGrid w:val="0"/>
        </w:rPr>
        <w:t>build</w:t>
      </w:r>
      <w:r>
        <w:rPr>
          <w:snapToGrid w:val="0"/>
        </w:rPr>
        <w:t xml:space="preserve"> on the notion </w:t>
      </w:r>
      <w:r w:rsidR="00186DE8">
        <w:rPr>
          <w:snapToGrid w:val="0"/>
        </w:rPr>
        <w:t>of heterogeneity to consider competitive advantage, however.  T</w:t>
      </w:r>
      <w:r>
        <w:rPr>
          <w:snapToGrid w:val="0"/>
        </w:rPr>
        <w:t xml:space="preserve">here are </w:t>
      </w:r>
      <w:r w:rsidR="00186DE8">
        <w:rPr>
          <w:snapToGrid w:val="0"/>
        </w:rPr>
        <w:t xml:space="preserve">must be </w:t>
      </w:r>
      <w:r>
        <w:rPr>
          <w:snapToGrid w:val="0"/>
        </w:rPr>
        <w:t>some firm</w:t>
      </w:r>
      <w:r w:rsidR="00186DE8">
        <w:rPr>
          <w:snapToGrid w:val="0"/>
        </w:rPr>
        <w:t xml:space="preserve"> </w:t>
      </w:r>
      <w:r>
        <w:rPr>
          <w:snapToGrid w:val="0"/>
        </w:rPr>
        <w:t xml:space="preserve">resources </w:t>
      </w:r>
      <w:r w:rsidR="00186DE8">
        <w:rPr>
          <w:snapToGrid w:val="0"/>
        </w:rPr>
        <w:t>that lead to unique capabilities that generate</w:t>
      </w:r>
      <w:r>
        <w:rPr>
          <w:snapToGrid w:val="0"/>
        </w:rPr>
        <w:t xml:space="preserve"> superior </w:t>
      </w:r>
      <w:r w:rsidR="00186DE8">
        <w:rPr>
          <w:snapToGrid w:val="0"/>
        </w:rPr>
        <w:t xml:space="preserve">performance as compared </w:t>
      </w:r>
      <w:r>
        <w:rPr>
          <w:snapToGrid w:val="0"/>
        </w:rPr>
        <w:t>to rivals.</w:t>
      </w:r>
    </w:p>
    <w:p w:rsidR="005F6481" w:rsidRDefault="005F6481">
      <w:pPr>
        <w:jc w:val="both"/>
        <w:rPr>
          <w:snapToGrid w:val="0"/>
        </w:rPr>
      </w:pPr>
    </w:p>
    <w:p w:rsidR="005F6481" w:rsidRDefault="005F6481">
      <w:pPr>
        <w:numPr>
          <w:ilvl w:val="0"/>
          <w:numId w:val="9"/>
        </w:numPr>
        <w:jc w:val="both"/>
        <w:rPr>
          <w:snapToGrid w:val="0"/>
        </w:rPr>
      </w:pPr>
      <w:r>
        <w:rPr>
          <w:snapToGrid w:val="0"/>
        </w:rPr>
        <w:t>Firms should evaluate their resources and how they can best generate superior performance. If a firm h</w:t>
      </w:r>
      <w:r w:rsidR="00C040ED">
        <w:rPr>
          <w:snapToGrid w:val="0"/>
        </w:rPr>
        <w:t>as deployed its resources i</w:t>
      </w:r>
      <w:r>
        <w:rPr>
          <w:snapToGrid w:val="0"/>
        </w:rPr>
        <w:t>n appropriate</w:t>
      </w:r>
      <w:r w:rsidR="00C040ED">
        <w:rPr>
          <w:snapToGrid w:val="0"/>
        </w:rPr>
        <w:t>ly matched strategies,</w:t>
      </w:r>
      <w:r>
        <w:rPr>
          <w:snapToGrid w:val="0"/>
        </w:rPr>
        <w:t xml:space="preserve"> the chance of achieving a competitive advantage will be even greater.</w:t>
      </w:r>
      <w:r w:rsidR="00C040ED">
        <w:rPr>
          <w:snapToGrid w:val="0"/>
        </w:rPr>
        <w:t xml:space="preserve">  This is the concept of </w:t>
      </w:r>
      <w:r w:rsidR="00C040ED">
        <w:rPr>
          <w:b/>
          <w:snapToGrid w:val="0"/>
        </w:rPr>
        <w:t>consonance</w:t>
      </w:r>
      <w:r w:rsidR="00C040ED">
        <w:rPr>
          <w:snapToGrid w:val="0"/>
        </w:rPr>
        <w:t xml:space="preserve"> — internal consistency among firms’ resources, capabilities and strategies.</w:t>
      </w:r>
    </w:p>
    <w:p w:rsidR="005F6481" w:rsidRPr="00A44D83" w:rsidRDefault="005F6481">
      <w:pPr>
        <w:jc w:val="both"/>
        <w:rPr>
          <w:b/>
          <w:snapToGrid w:val="0"/>
          <w:sz w:val="22"/>
        </w:rPr>
      </w:pPr>
    </w:p>
    <w:p w:rsidR="005F6481" w:rsidRPr="00A44D83" w:rsidRDefault="005F6481">
      <w:pPr>
        <w:jc w:val="both"/>
        <w:rPr>
          <w:b/>
          <w:snapToGrid w:val="0"/>
          <w:sz w:val="22"/>
        </w:rPr>
      </w:pPr>
    </w:p>
    <w:p w:rsidR="005F6481" w:rsidRPr="00A44D83" w:rsidRDefault="00C040ED" w:rsidP="00186DE8">
      <w:pPr>
        <w:numPr>
          <w:ilvl w:val="0"/>
          <w:numId w:val="5"/>
        </w:numPr>
        <w:jc w:val="both"/>
        <w:rPr>
          <w:b/>
          <w:snapToGrid w:val="0"/>
        </w:rPr>
      </w:pPr>
      <w:r w:rsidRPr="00A44D83">
        <w:rPr>
          <w:b/>
          <w:snapToGrid w:val="0"/>
          <w:sz w:val="22"/>
        </w:rPr>
        <w:t>Sources</w:t>
      </w:r>
      <w:r w:rsidR="005F6481" w:rsidRPr="00A44D83">
        <w:rPr>
          <w:b/>
          <w:snapToGrid w:val="0"/>
          <w:sz w:val="22"/>
        </w:rPr>
        <w:t xml:space="preserve"> of Competitive Advantage</w:t>
      </w:r>
      <w:r w:rsidR="005F6481" w:rsidRPr="00A44D83">
        <w:rPr>
          <w:b/>
          <w:snapToGrid w:val="0"/>
        </w:rPr>
        <w:t xml:space="preserve">:  </w:t>
      </w:r>
      <w:r w:rsidR="00A44D83">
        <w:rPr>
          <w:b/>
          <w:bCs/>
          <w:snapToGrid w:val="0"/>
        </w:rPr>
        <w:t xml:space="preserve">How </w:t>
      </w:r>
      <w:r w:rsidR="005F6481" w:rsidRPr="00A44D83">
        <w:rPr>
          <w:b/>
          <w:bCs/>
          <w:snapToGrid w:val="0"/>
        </w:rPr>
        <w:t>Resources</w:t>
      </w:r>
      <w:r w:rsidR="00A44D83">
        <w:rPr>
          <w:b/>
          <w:bCs/>
          <w:snapToGrid w:val="0"/>
        </w:rPr>
        <w:t xml:space="preserve"> &amp; Capabilities</w:t>
      </w:r>
      <w:r w:rsidR="005F6481" w:rsidRPr="00A44D83">
        <w:rPr>
          <w:b/>
          <w:bCs/>
          <w:snapToGrid w:val="0"/>
        </w:rPr>
        <w:t xml:space="preserve"> Deliver </w:t>
      </w:r>
      <w:r w:rsidR="00A44D83">
        <w:rPr>
          <w:b/>
          <w:bCs/>
          <w:snapToGrid w:val="0"/>
        </w:rPr>
        <w:t>Superior Peformance</w:t>
      </w:r>
    </w:p>
    <w:p w:rsidR="005F6481" w:rsidRPr="00A44D83" w:rsidRDefault="005F6481">
      <w:pPr>
        <w:jc w:val="both"/>
        <w:rPr>
          <w:b/>
          <w:snapToGrid w:val="0"/>
        </w:rPr>
      </w:pPr>
    </w:p>
    <w:p w:rsidR="005F6481" w:rsidRPr="00C040ED" w:rsidRDefault="00A44D83" w:rsidP="00A44D83">
      <w:pPr>
        <w:numPr>
          <w:ilvl w:val="0"/>
          <w:numId w:val="42"/>
        </w:numPr>
        <w:jc w:val="both"/>
        <w:rPr>
          <w:snapToGrid w:val="0"/>
        </w:rPr>
      </w:pPr>
      <w:r>
        <w:rPr>
          <w:snapToGrid w:val="0"/>
        </w:rPr>
        <w:t xml:space="preserve"> </w:t>
      </w:r>
      <w:r w:rsidR="005F6481">
        <w:rPr>
          <w:snapToGrid w:val="0"/>
        </w:rPr>
        <w:t xml:space="preserve"> </w:t>
      </w:r>
      <w:r w:rsidR="00C040ED" w:rsidRPr="00C040ED">
        <w:rPr>
          <w:snapToGrid w:val="0"/>
          <w:u w:val="single"/>
        </w:rPr>
        <w:t>Cost-Based Competitive Advantage</w:t>
      </w:r>
      <w:r w:rsidR="00C040ED">
        <w:rPr>
          <w:snapToGrid w:val="0"/>
        </w:rPr>
        <w:t>:</w:t>
      </w:r>
    </w:p>
    <w:p w:rsidR="005F6481" w:rsidRDefault="005F6481">
      <w:pPr>
        <w:jc w:val="both"/>
        <w:rPr>
          <w:snapToGrid w:val="0"/>
        </w:rPr>
      </w:pPr>
    </w:p>
    <w:p w:rsidR="005F6481" w:rsidRDefault="005F6481">
      <w:pPr>
        <w:numPr>
          <w:ilvl w:val="0"/>
          <w:numId w:val="14"/>
        </w:numPr>
        <w:tabs>
          <w:tab w:val="clear" w:pos="360"/>
          <w:tab w:val="num" w:pos="1080"/>
        </w:tabs>
        <w:ind w:left="1080"/>
        <w:jc w:val="both"/>
        <w:rPr>
          <w:snapToGrid w:val="0"/>
        </w:rPr>
      </w:pPr>
      <w:r>
        <w:rPr>
          <w:snapToGrid w:val="0"/>
        </w:rPr>
        <w:t>Consider an industry with many firms competing. Even if they produce the same product, the firms are all different, or heterogeneous, in terms of the resources they use to produce their output. A firm with superior resources may produce the good at a lower cost and, thus, earn economic profits.  A firm with a worse set of resources may be just breaking even. ·</w:t>
      </w:r>
    </w:p>
    <w:p w:rsidR="005F6481" w:rsidRDefault="005F6481">
      <w:pPr>
        <w:jc w:val="both"/>
        <w:rPr>
          <w:snapToGrid w:val="0"/>
        </w:rPr>
      </w:pPr>
    </w:p>
    <w:p w:rsidR="005F6481" w:rsidRDefault="005F6481">
      <w:pPr>
        <w:numPr>
          <w:ilvl w:val="0"/>
          <w:numId w:val="15"/>
        </w:numPr>
        <w:tabs>
          <w:tab w:val="clear" w:pos="360"/>
          <w:tab w:val="num" w:pos="1080"/>
        </w:tabs>
        <w:ind w:left="1080"/>
        <w:jc w:val="both"/>
        <w:rPr>
          <w:snapToGrid w:val="0"/>
        </w:rPr>
      </w:pPr>
      <w:r>
        <w:rPr>
          <w:snapToGrid w:val="0"/>
        </w:rPr>
        <w:t xml:space="preserve">Suppose the industry is producing some commodity type of output, like wheat. For buyers, wheat is wheat — there is no possible differentiation and all wheat sells for the market price. Still, firms are heterogeneous in the resources necessary to produce wheat. The most inferior wheat farmer is just breaking even (the price merely covers costs). It's not that the superior wheat farmer is delivering a product that consumers view as superior — by definition, wheat </w:t>
      </w:r>
      <w:r>
        <w:rPr>
          <w:snapToGrid w:val="0"/>
        </w:rPr>
        <w:lastRenderedPageBreak/>
        <w:t>is wheat. Instead, the heterogeneity in this industry takes the form of differing efficiencies in production.</w:t>
      </w:r>
    </w:p>
    <w:p w:rsidR="005F6481" w:rsidRDefault="005F6481">
      <w:pPr>
        <w:jc w:val="both"/>
        <w:rPr>
          <w:snapToGrid w:val="0"/>
        </w:rPr>
      </w:pPr>
    </w:p>
    <w:p w:rsidR="005F6481" w:rsidRDefault="005F6481" w:rsidP="00637595">
      <w:pPr>
        <w:numPr>
          <w:ilvl w:val="0"/>
          <w:numId w:val="16"/>
        </w:numPr>
        <w:tabs>
          <w:tab w:val="clear" w:pos="360"/>
          <w:tab w:val="num" w:pos="1080"/>
        </w:tabs>
        <w:ind w:left="1080"/>
        <w:jc w:val="both"/>
        <w:rPr>
          <w:snapToGrid w:val="0"/>
        </w:rPr>
      </w:pPr>
      <w:r>
        <w:rPr>
          <w:snapToGrid w:val="0"/>
        </w:rPr>
        <w:t xml:space="preserve">So, at the going industry price, the superior firm earns economic </w:t>
      </w:r>
      <w:r w:rsidR="008E125D">
        <w:rPr>
          <w:snapToGrid w:val="0"/>
        </w:rPr>
        <w:t>profits</w:t>
      </w:r>
      <w:r>
        <w:rPr>
          <w:snapToGrid w:val="0"/>
        </w:rPr>
        <w:t xml:space="preserve"> — the market price exceeds their accounting plus opportunity costs. </w:t>
      </w:r>
    </w:p>
    <w:p w:rsidR="00637595" w:rsidRDefault="00637595" w:rsidP="00637595">
      <w:pPr>
        <w:ind w:left="720"/>
        <w:jc w:val="both"/>
        <w:rPr>
          <w:snapToGrid w:val="0"/>
        </w:rPr>
      </w:pPr>
    </w:p>
    <w:p w:rsidR="005F6481" w:rsidRDefault="005F6481">
      <w:pPr>
        <w:numPr>
          <w:ilvl w:val="0"/>
          <w:numId w:val="17"/>
        </w:numPr>
        <w:tabs>
          <w:tab w:val="clear" w:pos="360"/>
          <w:tab w:val="num" w:pos="1080"/>
        </w:tabs>
        <w:ind w:left="1080"/>
        <w:jc w:val="both"/>
        <w:rPr>
          <w:snapToGrid w:val="0"/>
        </w:rPr>
      </w:pPr>
      <w:r>
        <w:rPr>
          <w:snapToGrid w:val="0"/>
        </w:rPr>
        <w:t>Unfortunately, the superior firm usually cannot increase output indefinitely (diminishing returns). This firm cannot grow enough low-cost wheat to serve the entire market.</w:t>
      </w:r>
      <w:r>
        <w:rPr>
          <w:rStyle w:val="FootnoteReference"/>
          <w:snapToGrid w:val="0"/>
        </w:rPr>
        <w:footnoteReference w:id="2"/>
      </w:r>
      <w:r>
        <w:rPr>
          <w:snapToGrid w:val="0"/>
        </w:rPr>
        <w:t xml:space="preserve"> Suppose the firm's critical resource is "fertile land" — it achieves lower costs because it doesn't have to use fertilizer. But, the amount of fertile land available is limited.</w:t>
      </w:r>
    </w:p>
    <w:p w:rsidR="005F6481" w:rsidRDefault="005F6481">
      <w:pPr>
        <w:jc w:val="both"/>
        <w:rPr>
          <w:snapToGrid w:val="0"/>
        </w:rPr>
      </w:pPr>
    </w:p>
    <w:p w:rsidR="005F6481" w:rsidRDefault="005F6481" w:rsidP="00C040ED">
      <w:pPr>
        <w:numPr>
          <w:ilvl w:val="0"/>
          <w:numId w:val="18"/>
        </w:numPr>
        <w:tabs>
          <w:tab w:val="clear" w:pos="360"/>
          <w:tab w:val="num" w:pos="1080"/>
        </w:tabs>
        <w:ind w:left="1080"/>
        <w:jc w:val="both"/>
        <w:rPr>
          <w:snapToGrid w:val="0"/>
        </w:rPr>
      </w:pPr>
      <w:r>
        <w:rPr>
          <w:snapToGrid w:val="0"/>
        </w:rPr>
        <w:t xml:space="preserve">The firm earns this </w:t>
      </w:r>
      <w:r w:rsidR="00637595">
        <w:rPr>
          <w:snapToGrid w:val="0"/>
        </w:rPr>
        <w:t>profit</w:t>
      </w:r>
      <w:r>
        <w:rPr>
          <w:snapToGrid w:val="0"/>
        </w:rPr>
        <w:t xml:space="preserve"> because its costs are lower, for some reason, than the costs of other firms in the industry. </w:t>
      </w:r>
    </w:p>
    <w:p w:rsidR="00C040ED" w:rsidRDefault="00C040ED" w:rsidP="00C040ED">
      <w:pPr>
        <w:ind w:left="720"/>
        <w:jc w:val="both"/>
        <w:rPr>
          <w:snapToGrid w:val="0"/>
        </w:rPr>
      </w:pPr>
    </w:p>
    <w:p w:rsidR="005F6481" w:rsidRDefault="005F6481">
      <w:pPr>
        <w:numPr>
          <w:ilvl w:val="0"/>
          <w:numId w:val="19"/>
        </w:numPr>
        <w:tabs>
          <w:tab w:val="clear" w:pos="360"/>
          <w:tab w:val="num" w:pos="1080"/>
        </w:tabs>
        <w:ind w:left="1080"/>
        <w:jc w:val="both"/>
        <w:rPr>
          <w:snapToGrid w:val="0"/>
        </w:rPr>
      </w:pPr>
      <w:r>
        <w:rPr>
          <w:snapToGrid w:val="0"/>
        </w:rPr>
        <w:t xml:space="preserve">Note that the owner of the resource is not a monopolist. On the contrary, this firm sells in a very competitive market at the going price. It just happens to be able to produce a subset of the total market demand at a lower average cost. The key to </w:t>
      </w:r>
      <w:r w:rsidR="00637595">
        <w:rPr>
          <w:snapToGrid w:val="0"/>
        </w:rPr>
        <w:t>cost-based competitive advantage</w:t>
      </w:r>
      <w:r>
        <w:rPr>
          <w:snapToGrid w:val="0"/>
        </w:rPr>
        <w:t xml:space="preserve"> is that the resource is scarce</w:t>
      </w:r>
      <w:r w:rsidR="00A33A29">
        <w:rPr>
          <w:snapToGrid w:val="0"/>
        </w:rPr>
        <w:t>/exclusive (i.e., that</w:t>
      </w:r>
      <w:r>
        <w:rPr>
          <w:snapToGrid w:val="0"/>
        </w:rPr>
        <w:t xml:space="preserve"> it "runs out" before it can by used to satisfy the entire market demand</w:t>
      </w:r>
      <w:r w:rsidR="00DE7C56">
        <w:rPr>
          <w:snapToGrid w:val="0"/>
        </w:rPr>
        <w:t>)</w:t>
      </w:r>
      <w:r>
        <w:rPr>
          <w:snapToGrid w:val="0"/>
        </w:rPr>
        <w:t>.</w:t>
      </w:r>
    </w:p>
    <w:p w:rsidR="005F6481" w:rsidRDefault="005F6481">
      <w:pPr>
        <w:jc w:val="both"/>
        <w:rPr>
          <w:snapToGrid w:val="0"/>
        </w:rPr>
      </w:pPr>
    </w:p>
    <w:p w:rsidR="005F6481" w:rsidRPr="00C040ED" w:rsidRDefault="00C040ED" w:rsidP="00A44D83">
      <w:pPr>
        <w:numPr>
          <w:ilvl w:val="0"/>
          <w:numId w:val="42"/>
        </w:numPr>
        <w:jc w:val="both"/>
        <w:rPr>
          <w:snapToGrid w:val="0"/>
        </w:rPr>
      </w:pPr>
      <w:r>
        <w:rPr>
          <w:snapToGrid w:val="0"/>
          <w:u w:val="single"/>
        </w:rPr>
        <w:t>Differentiation-Based Competitive Advantage</w:t>
      </w:r>
      <w:r>
        <w:rPr>
          <w:snapToGrid w:val="0"/>
        </w:rPr>
        <w:t>:</w:t>
      </w:r>
    </w:p>
    <w:p w:rsidR="005F6481" w:rsidRDefault="005F6481">
      <w:pPr>
        <w:jc w:val="both"/>
        <w:rPr>
          <w:snapToGrid w:val="0"/>
        </w:rPr>
      </w:pPr>
    </w:p>
    <w:p w:rsidR="005F6481" w:rsidRDefault="005F6481">
      <w:pPr>
        <w:numPr>
          <w:ilvl w:val="0"/>
          <w:numId w:val="20"/>
        </w:numPr>
        <w:tabs>
          <w:tab w:val="clear" w:pos="360"/>
          <w:tab w:val="num" w:pos="1080"/>
        </w:tabs>
        <w:ind w:left="1080"/>
        <w:jc w:val="both"/>
        <w:rPr>
          <w:snapToGrid w:val="0"/>
        </w:rPr>
      </w:pPr>
      <w:r>
        <w:rPr>
          <w:snapToGrid w:val="0"/>
        </w:rPr>
        <w:t xml:space="preserve">In contrast, the firm could produce an output that is (or </w:t>
      </w:r>
      <w:r w:rsidR="00DE7C56">
        <w:rPr>
          <w:snapToGrid w:val="0"/>
        </w:rPr>
        <w:t xml:space="preserve">some </w:t>
      </w:r>
      <w:r>
        <w:rPr>
          <w:snapToGrid w:val="0"/>
        </w:rPr>
        <w:t xml:space="preserve">consumers feel it is) unique from the output of other firms. </w:t>
      </w:r>
    </w:p>
    <w:p w:rsidR="005F6481" w:rsidRDefault="005F6481">
      <w:pPr>
        <w:jc w:val="both"/>
        <w:rPr>
          <w:snapToGrid w:val="0"/>
        </w:rPr>
      </w:pPr>
    </w:p>
    <w:p w:rsidR="005F6481" w:rsidRDefault="00637595">
      <w:pPr>
        <w:numPr>
          <w:ilvl w:val="0"/>
          <w:numId w:val="21"/>
        </w:numPr>
        <w:tabs>
          <w:tab w:val="clear" w:pos="360"/>
          <w:tab w:val="num" w:pos="1080"/>
        </w:tabs>
        <w:ind w:left="1080"/>
        <w:jc w:val="both"/>
        <w:rPr>
          <w:snapToGrid w:val="0"/>
        </w:rPr>
      </w:pPr>
      <w:r>
        <w:rPr>
          <w:snapToGrid w:val="0"/>
        </w:rPr>
        <w:t>In a way, t</w:t>
      </w:r>
      <w:r w:rsidR="005F6481">
        <w:rPr>
          <w:snapToGrid w:val="0"/>
        </w:rPr>
        <w:t xml:space="preserve">his firm is </w:t>
      </w:r>
      <w:r>
        <w:rPr>
          <w:snapToGrid w:val="0"/>
        </w:rPr>
        <w:t xml:space="preserve">like </w:t>
      </w:r>
      <w:r w:rsidR="005F6481">
        <w:rPr>
          <w:snapToGrid w:val="0"/>
        </w:rPr>
        <w:t xml:space="preserve">a monopolist: it occupies a unique location in "product space." This product space location can be considered its resource.  Product heterogeneity can be represented by the distance between the firm's location in product space and its nearest rival's location. </w:t>
      </w:r>
    </w:p>
    <w:p w:rsidR="005F6481" w:rsidRDefault="005F6481">
      <w:pPr>
        <w:jc w:val="both"/>
        <w:rPr>
          <w:snapToGrid w:val="0"/>
        </w:rPr>
      </w:pPr>
    </w:p>
    <w:p w:rsidR="005F6481" w:rsidRDefault="005F6481">
      <w:pPr>
        <w:numPr>
          <w:ilvl w:val="0"/>
          <w:numId w:val="22"/>
        </w:numPr>
        <w:tabs>
          <w:tab w:val="clear" w:pos="360"/>
          <w:tab w:val="num" w:pos="1080"/>
        </w:tabs>
        <w:ind w:left="1080"/>
        <w:jc w:val="both"/>
        <w:rPr>
          <w:snapToGrid w:val="0"/>
        </w:rPr>
      </w:pPr>
      <w:r>
        <w:rPr>
          <w:snapToGrid w:val="0"/>
        </w:rPr>
        <w:t>Of course, there are degrees of monopoly: there is only one seller of "Kellogg's" Corn Flakes, but other brands of Corn Flakes are pretty close by. The monopoly on Microsoft Windows, for which there really aren’t very close substitutes, is much stronger. Different operating systems are quite far apart.</w:t>
      </w:r>
    </w:p>
    <w:p w:rsidR="005F6481" w:rsidRDefault="005F6481">
      <w:pPr>
        <w:jc w:val="both"/>
        <w:rPr>
          <w:snapToGrid w:val="0"/>
        </w:rPr>
      </w:pPr>
    </w:p>
    <w:p w:rsidR="00637595" w:rsidRDefault="00637595">
      <w:pPr>
        <w:numPr>
          <w:ilvl w:val="0"/>
          <w:numId w:val="25"/>
        </w:numPr>
        <w:tabs>
          <w:tab w:val="clear" w:pos="360"/>
          <w:tab w:val="num" w:pos="1080"/>
        </w:tabs>
        <w:ind w:left="1080"/>
        <w:jc w:val="both"/>
        <w:rPr>
          <w:snapToGrid w:val="0"/>
        </w:rPr>
      </w:pPr>
      <w:r>
        <w:rPr>
          <w:snapToGrid w:val="0"/>
        </w:rPr>
        <w:t>When a firm is even a weak monopoly</w:t>
      </w:r>
      <w:r w:rsidR="00F607B3">
        <w:rPr>
          <w:snapToGrid w:val="0"/>
        </w:rPr>
        <w:t xml:space="preserve">, consumers don’t consider competing products perfect substitutes.  As a result, </w:t>
      </w:r>
      <w:r w:rsidR="005F6481">
        <w:rPr>
          <w:snapToGrid w:val="0"/>
        </w:rPr>
        <w:t xml:space="preserve">the firms </w:t>
      </w:r>
      <w:r w:rsidR="00F607B3">
        <w:rPr>
          <w:snapToGrid w:val="0"/>
        </w:rPr>
        <w:t xml:space="preserve">can maintain a price above costs without losing all of their quantity to competitors.  </w:t>
      </w:r>
      <w:r w:rsidR="005F6481">
        <w:rPr>
          <w:snapToGrid w:val="0"/>
        </w:rPr>
        <w:t>Since price exceeds cost, the monopolist earns a</w:t>
      </w:r>
      <w:r w:rsidR="00982EA6">
        <w:rPr>
          <w:snapToGrid w:val="0"/>
        </w:rPr>
        <w:t>n economic</w:t>
      </w:r>
      <w:r w:rsidR="005F6481">
        <w:rPr>
          <w:snapToGrid w:val="0"/>
        </w:rPr>
        <w:t xml:space="preserve"> profit</w:t>
      </w:r>
      <w:r>
        <w:rPr>
          <w:snapToGrid w:val="0"/>
        </w:rPr>
        <w:t xml:space="preserve">, </w:t>
      </w:r>
      <w:r w:rsidR="00F607B3">
        <w:rPr>
          <w:snapToGrid w:val="0"/>
        </w:rPr>
        <w:t xml:space="preserve"> (</w:t>
      </w:r>
      <w:r>
        <w:rPr>
          <w:snapToGrid w:val="0"/>
        </w:rPr>
        <w:t>P - C</w:t>
      </w:r>
      <w:r w:rsidR="00F607B3">
        <w:rPr>
          <w:snapToGrid w:val="0"/>
        </w:rPr>
        <w:t>)</w:t>
      </w:r>
      <w:r>
        <w:rPr>
          <w:snapToGrid w:val="0"/>
        </w:rPr>
        <w:t xml:space="preserve"> &gt; 0</w:t>
      </w:r>
      <w:r w:rsidR="005F6481">
        <w:rPr>
          <w:snapToGrid w:val="0"/>
        </w:rPr>
        <w:t>.</w:t>
      </w:r>
    </w:p>
    <w:p w:rsidR="00A44D83" w:rsidRDefault="00A44D83" w:rsidP="00A44D83">
      <w:pPr>
        <w:ind w:left="720"/>
        <w:jc w:val="both"/>
        <w:rPr>
          <w:snapToGrid w:val="0"/>
        </w:rPr>
      </w:pPr>
    </w:p>
    <w:p w:rsidR="00A44D83" w:rsidRDefault="00A44D83">
      <w:pPr>
        <w:numPr>
          <w:ilvl w:val="0"/>
          <w:numId w:val="25"/>
        </w:numPr>
        <w:tabs>
          <w:tab w:val="clear" w:pos="360"/>
          <w:tab w:val="num" w:pos="1080"/>
        </w:tabs>
        <w:ind w:left="1080"/>
        <w:jc w:val="both"/>
        <w:rPr>
          <w:snapToGrid w:val="0"/>
        </w:rPr>
      </w:pPr>
      <w:r>
        <w:rPr>
          <w:snapToGrid w:val="0"/>
        </w:rPr>
        <w:t>Note that “positioning” in a market alone cannot deliver a differentiation-based competitive advantage.  The firm’s offering must be unique relative to the competition and t</w:t>
      </w:r>
      <w:r w:rsidR="00421054">
        <w:rPr>
          <w:snapToGrid w:val="0"/>
        </w:rPr>
        <w:t>here has to be sufficient demand for the unique product offering to cover fixed costs.  Much more on this point in Topic 2.2.</w:t>
      </w:r>
    </w:p>
    <w:p w:rsidR="00421054" w:rsidRDefault="00421054" w:rsidP="00421054">
      <w:pPr>
        <w:jc w:val="both"/>
        <w:rPr>
          <w:snapToGrid w:val="0"/>
        </w:rPr>
      </w:pPr>
    </w:p>
    <w:p w:rsidR="00A44D83" w:rsidRDefault="00A44D83" w:rsidP="00A44D83">
      <w:pPr>
        <w:jc w:val="both"/>
        <w:rPr>
          <w:snapToGrid w:val="0"/>
        </w:rPr>
      </w:pPr>
    </w:p>
    <w:p w:rsidR="00B86A6D" w:rsidRPr="0001494F" w:rsidRDefault="0001494F" w:rsidP="0001494F">
      <w:pPr>
        <w:numPr>
          <w:ilvl w:val="0"/>
          <w:numId w:val="5"/>
        </w:numPr>
        <w:jc w:val="both"/>
        <w:rPr>
          <w:b/>
          <w:snapToGrid w:val="0"/>
        </w:rPr>
      </w:pPr>
      <w:r w:rsidRPr="0001494F">
        <w:rPr>
          <w:b/>
          <w:snapToGrid w:val="0"/>
        </w:rPr>
        <w:t>Consonance</w:t>
      </w:r>
    </w:p>
    <w:p w:rsidR="0001494F" w:rsidRDefault="0001494F" w:rsidP="0001494F">
      <w:pPr>
        <w:jc w:val="both"/>
        <w:rPr>
          <w:snapToGrid w:val="0"/>
        </w:rPr>
      </w:pPr>
    </w:p>
    <w:p w:rsidR="0001494F" w:rsidRPr="0001494F" w:rsidRDefault="0001494F" w:rsidP="0001494F">
      <w:pPr>
        <w:jc w:val="both"/>
        <w:rPr>
          <w:snapToGrid w:val="0"/>
        </w:rPr>
      </w:pPr>
      <w:r>
        <w:rPr>
          <w:snapToGrid w:val="0"/>
        </w:rPr>
        <w:t xml:space="preserve">While </w:t>
      </w:r>
      <w:r w:rsidR="00421054">
        <w:rPr>
          <w:snapToGrid w:val="0"/>
        </w:rPr>
        <w:t>the competitive advantage “framework” is not nearly as formal as Porter’s Five Forces, the underlying microeconomic foundations remain critical</w:t>
      </w:r>
      <w:r>
        <w:rPr>
          <w:snapToGrid w:val="0"/>
        </w:rPr>
        <w:t>.  The key concept</w:t>
      </w:r>
      <w:r w:rsidR="00421054">
        <w:rPr>
          <w:snapToGrid w:val="0"/>
        </w:rPr>
        <w:t xml:space="preserve">ual touchstone for competitive advantage is </w:t>
      </w:r>
      <w:r>
        <w:rPr>
          <w:b/>
          <w:snapToGrid w:val="0"/>
        </w:rPr>
        <w:t>consonance</w:t>
      </w:r>
      <w:r>
        <w:rPr>
          <w:snapToGrid w:val="0"/>
        </w:rPr>
        <w:t xml:space="preserve">.  Successful firms have consistency among the strategies they employ, the </w:t>
      </w:r>
      <w:r>
        <w:rPr>
          <w:snapToGrid w:val="0"/>
        </w:rPr>
        <w:lastRenderedPageBreak/>
        <w:t xml:space="preserve">resources they possess and the capabilities that these resources enable.  Firms can achieve greater consonance by undertaking strategic initiatives that are consistent with the resources and capabilities they possess and by developing and acquiring resources that match well (are cospecialized) with the resources they already possess.  </w:t>
      </w:r>
      <w:r w:rsidR="00F7267D">
        <w:rPr>
          <w:snapToGrid w:val="0"/>
        </w:rPr>
        <w:t xml:space="preserve">Roche and SAS provide illustrations of firms employing resources to develop capabilities that generate specific types of competitive advantage.  </w:t>
      </w:r>
      <w:r>
        <w:rPr>
          <w:snapToGrid w:val="0"/>
        </w:rPr>
        <w:t xml:space="preserve">As the course goes on, we will highlight examples where firms’ </w:t>
      </w:r>
      <w:r w:rsidR="00F7267D">
        <w:rPr>
          <w:snapToGrid w:val="0"/>
        </w:rPr>
        <w:t>superior profitability</w:t>
      </w:r>
      <w:r>
        <w:rPr>
          <w:snapToGrid w:val="0"/>
        </w:rPr>
        <w:t xml:space="preserve"> can be tied to their consonance.  We will also see struggling firms with a marked inconsistency between their strategies and their resources/capabilities.</w:t>
      </w:r>
    </w:p>
    <w:p w:rsidR="0001494F" w:rsidRDefault="0001494F" w:rsidP="0001494F">
      <w:pPr>
        <w:jc w:val="both"/>
        <w:rPr>
          <w:snapToGrid w:val="0"/>
        </w:rPr>
      </w:pPr>
    </w:p>
    <w:sectPr w:rsidR="0001494F" w:rsidSect="00CD70F5">
      <w:headerReference w:type="default" r:id="rId7"/>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4DB" w:rsidRDefault="007B44DB">
      <w:r>
        <w:separator/>
      </w:r>
    </w:p>
  </w:endnote>
  <w:endnote w:type="continuationSeparator" w:id="1">
    <w:p w:rsidR="007B44DB" w:rsidRDefault="007B44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4DB" w:rsidRDefault="007B44DB">
      <w:r>
        <w:separator/>
      </w:r>
    </w:p>
  </w:footnote>
  <w:footnote w:type="continuationSeparator" w:id="1">
    <w:p w:rsidR="007B44DB" w:rsidRDefault="007B44DB">
      <w:r>
        <w:continuationSeparator/>
      </w:r>
    </w:p>
  </w:footnote>
  <w:footnote w:id="2">
    <w:p w:rsidR="009B254D" w:rsidRDefault="009B254D">
      <w:pPr>
        <w:jc w:val="both"/>
      </w:pPr>
      <w:r>
        <w:rPr>
          <w:rStyle w:val="FootnoteReference"/>
        </w:rPr>
        <w:footnoteRef/>
      </w:r>
      <w:r>
        <w:rPr>
          <w:snapToGrid w:val="0"/>
        </w:rPr>
        <w:t>As a matter of fact, this firm is serving such a small part of the market that the firm is still a price taker. Even if this efficient firm shuts down, the industry price would remain unchanged.</w:t>
      </w:r>
      <w:r>
        <w:t xml:space="preserve">  </w:t>
      </w:r>
    </w:p>
    <w:p w:rsidR="009B254D" w:rsidRDefault="009B254D">
      <w:pPr>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4428"/>
      <w:gridCol w:w="4428"/>
    </w:tblGrid>
    <w:tr w:rsidR="009B254D">
      <w:tc>
        <w:tcPr>
          <w:tcW w:w="4428" w:type="dxa"/>
        </w:tcPr>
        <w:p w:rsidR="009B254D" w:rsidRDefault="009B254D">
          <w:pPr>
            <w:rPr>
              <w:snapToGrid w:val="0"/>
            </w:rPr>
          </w:pPr>
          <w:r>
            <w:rPr>
              <w:snapToGrid w:val="0"/>
            </w:rPr>
            <w:t>Management &amp; Strategy 431</w:t>
          </w:r>
        </w:p>
      </w:tc>
      <w:tc>
        <w:tcPr>
          <w:tcW w:w="4428" w:type="dxa"/>
        </w:tcPr>
        <w:p w:rsidR="009B254D" w:rsidRDefault="008E125D">
          <w:pPr>
            <w:jc w:val="right"/>
            <w:rPr>
              <w:snapToGrid w:val="0"/>
            </w:rPr>
          </w:pPr>
          <w:r>
            <w:rPr>
              <w:snapToGrid w:val="0"/>
            </w:rPr>
            <w:t>Fall</w:t>
          </w:r>
          <w:r w:rsidR="009F6738">
            <w:rPr>
              <w:snapToGrid w:val="0"/>
            </w:rPr>
            <w:t xml:space="preserve"> 2008</w:t>
          </w:r>
          <w:r w:rsidR="001A1E16">
            <w:rPr>
              <w:snapToGrid w:val="0"/>
            </w:rPr>
            <w:t xml:space="preserve"> — Section</w:t>
          </w:r>
          <w:r>
            <w:rPr>
              <w:snapToGrid w:val="0"/>
            </w:rPr>
            <w:t>s 6</w:t>
          </w:r>
          <w:r w:rsidR="009B254D">
            <w:rPr>
              <w:snapToGrid w:val="0"/>
            </w:rPr>
            <w:t>2</w:t>
          </w:r>
          <w:r>
            <w:rPr>
              <w:snapToGrid w:val="0"/>
            </w:rPr>
            <w:t>, 63 &amp; 64</w:t>
          </w:r>
        </w:p>
      </w:tc>
    </w:tr>
    <w:tr w:rsidR="009B254D">
      <w:tc>
        <w:tcPr>
          <w:tcW w:w="4428" w:type="dxa"/>
        </w:tcPr>
        <w:p w:rsidR="009B254D" w:rsidRDefault="009B254D">
          <w:pPr>
            <w:rPr>
              <w:snapToGrid w:val="0"/>
            </w:rPr>
          </w:pPr>
          <w:r>
            <w:rPr>
              <w:snapToGrid w:val="0"/>
            </w:rPr>
            <w:t xml:space="preserve">Professor Mazzeo </w:t>
          </w:r>
        </w:p>
      </w:tc>
      <w:tc>
        <w:tcPr>
          <w:tcW w:w="4428" w:type="dxa"/>
        </w:tcPr>
        <w:p w:rsidR="009B254D" w:rsidRDefault="009B254D">
          <w:pPr>
            <w:jc w:val="right"/>
            <w:rPr>
              <w:snapToGrid w:val="0"/>
            </w:rPr>
          </w:pPr>
          <w:r>
            <w:rPr>
              <w:snapToGrid w:val="0"/>
            </w:rPr>
            <w:t>Topic 1.3:  Lecture Summary</w:t>
          </w:r>
        </w:p>
      </w:tc>
    </w:tr>
  </w:tbl>
  <w:p w:rsidR="009B254D" w:rsidRDefault="009B254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4EA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178591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25458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51D37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6A904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70E387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8F109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1F0371C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1F6B156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20A9323E"/>
    <w:multiLevelType w:val="singleLevel"/>
    <w:tmpl w:val="04090015"/>
    <w:lvl w:ilvl="0">
      <w:start w:val="2"/>
      <w:numFmt w:val="upperLetter"/>
      <w:lvlText w:val="%1."/>
      <w:lvlJc w:val="left"/>
      <w:pPr>
        <w:tabs>
          <w:tab w:val="num" w:pos="360"/>
        </w:tabs>
        <w:ind w:left="360" w:hanging="360"/>
      </w:pPr>
      <w:rPr>
        <w:rFonts w:hint="default"/>
      </w:rPr>
    </w:lvl>
  </w:abstractNum>
  <w:abstractNum w:abstractNumId="10">
    <w:nsid w:val="2190390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1">
    <w:nsid w:val="23774DE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25014772"/>
    <w:multiLevelType w:val="singleLevel"/>
    <w:tmpl w:val="0409000F"/>
    <w:lvl w:ilvl="0">
      <w:start w:val="1"/>
      <w:numFmt w:val="decimal"/>
      <w:lvlText w:val="%1."/>
      <w:lvlJc w:val="left"/>
      <w:pPr>
        <w:tabs>
          <w:tab w:val="num" w:pos="360"/>
        </w:tabs>
        <w:ind w:left="360" w:hanging="360"/>
      </w:pPr>
      <w:rPr>
        <w:rFonts w:hint="default"/>
        <w:u w:val="none"/>
      </w:rPr>
    </w:lvl>
  </w:abstractNum>
  <w:abstractNum w:abstractNumId="13">
    <w:nsid w:val="286558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33C436F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33EF1AF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35DD0C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35E7215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3AA04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3BD51D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3E767F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3FC709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44A65F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45727AC6"/>
    <w:multiLevelType w:val="singleLevel"/>
    <w:tmpl w:val="80B05A48"/>
    <w:lvl w:ilvl="0">
      <w:start w:val="1"/>
      <w:numFmt w:val="upperLetter"/>
      <w:lvlText w:val="%1."/>
      <w:lvlJc w:val="left"/>
      <w:pPr>
        <w:tabs>
          <w:tab w:val="num" w:pos="360"/>
        </w:tabs>
        <w:ind w:left="360" w:hanging="360"/>
      </w:pPr>
      <w:rPr>
        <w:rFonts w:hint="default"/>
        <w:b/>
      </w:rPr>
    </w:lvl>
  </w:abstractNum>
  <w:abstractNum w:abstractNumId="24">
    <w:nsid w:val="49B445C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4E1B3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4E611C55"/>
    <w:multiLevelType w:val="singleLevel"/>
    <w:tmpl w:val="04090013"/>
    <w:lvl w:ilvl="0">
      <w:start w:val="1"/>
      <w:numFmt w:val="upperRoman"/>
      <w:lvlText w:val="%1."/>
      <w:lvlJc w:val="left"/>
      <w:pPr>
        <w:tabs>
          <w:tab w:val="num" w:pos="720"/>
        </w:tabs>
        <w:ind w:left="720" w:hanging="720"/>
      </w:pPr>
      <w:rPr>
        <w:rFonts w:hint="default"/>
      </w:rPr>
    </w:lvl>
  </w:abstractNum>
  <w:abstractNum w:abstractNumId="27">
    <w:nsid w:val="4F8274B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4FB8116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532618E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57730D2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583106B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61E735FB"/>
    <w:multiLevelType w:val="hybridMultilevel"/>
    <w:tmpl w:val="D35295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473F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65D8634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6ADC521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B4743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6BEE56F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6F4039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72B555F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nsid w:val="77BE00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7F786581"/>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9"/>
  </w:num>
  <w:num w:numId="3">
    <w:abstractNumId w:val="40"/>
  </w:num>
  <w:num w:numId="4">
    <w:abstractNumId w:val="24"/>
  </w:num>
  <w:num w:numId="5">
    <w:abstractNumId w:val="26"/>
  </w:num>
  <w:num w:numId="6">
    <w:abstractNumId w:val="5"/>
  </w:num>
  <w:num w:numId="7">
    <w:abstractNumId w:val="39"/>
  </w:num>
  <w:num w:numId="8">
    <w:abstractNumId w:val="1"/>
  </w:num>
  <w:num w:numId="9">
    <w:abstractNumId w:val="27"/>
  </w:num>
  <w:num w:numId="10">
    <w:abstractNumId w:val="41"/>
  </w:num>
  <w:num w:numId="11">
    <w:abstractNumId w:val="23"/>
  </w:num>
  <w:num w:numId="12">
    <w:abstractNumId w:val="36"/>
  </w:num>
  <w:num w:numId="13">
    <w:abstractNumId w:val="3"/>
  </w:num>
  <w:num w:numId="14">
    <w:abstractNumId w:val="17"/>
  </w:num>
  <w:num w:numId="15">
    <w:abstractNumId w:val="33"/>
  </w:num>
  <w:num w:numId="16">
    <w:abstractNumId w:val="38"/>
  </w:num>
  <w:num w:numId="17">
    <w:abstractNumId w:val="21"/>
  </w:num>
  <w:num w:numId="18">
    <w:abstractNumId w:val="30"/>
  </w:num>
  <w:num w:numId="19">
    <w:abstractNumId w:val="4"/>
  </w:num>
  <w:num w:numId="20">
    <w:abstractNumId w:val="7"/>
  </w:num>
  <w:num w:numId="21">
    <w:abstractNumId w:val="20"/>
  </w:num>
  <w:num w:numId="22">
    <w:abstractNumId w:val="35"/>
  </w:num>
  <w:num w:numId="23">
    <w:abstractNumId w:val="15"/>
  </w:num>
  <w:num w:numId="24">
    <w:abstractNumId w:val="11"/>
  </w:num>
  <w:num w:numId="25">
    <w:abstractNumId w:val="34"/>
  </w:num>
  <w:num w:numId="26">
    <w:abstractNumId w:val="29"/>
  </w:num>
  <w:num w:numId="27">
    <w:abstractNumId w:val="12"/>
  </w:num>
  <w:num w:numId="28">
    <w:abstractNumId w:val="6"/>
  </w:num>
  <w:num w:numId="29">
    <w:abstractNumId w:val="13"/>
  </w:num>
  <w:num w:numId="30">
    <w:abstractNumId w:val="22"/>
  </w:num>
  <w:num w:numId="31">
    <w:abstractNumId w:val="16"/>
  </w:num>
  <w:num w:numId="32">
    <w:abstractNumId w:val="18"/>
  </w:num>
  <w:num w:numId="33">
    <w:abstractNumId w:val="8"/>
  </w:num>
  <w:num w:numId="34">
    <w:abstractNumId w:val="0"/>
  </w:num>
  <w:num w:numId="35">
    <w:abstractNumId w:val="31"/>
  </w:num>
  <w:num w:numId="36">
    <w:abstractNumId w:val="14"/>
  </w:num>
  <w:num w:numId="37">
    <w:abstractNumId w:val="37"/>
  </w:num>
  <w:num w:numId="38">
    <w:abstractNumId w:val="10"/>
  </w:num>
  <w:num w:numId="39">
    <w:abstractNumId w:val="25"/>
  </w:num>
  <w:num w:numId="40">
    <w:abstractNumId w:val="28"/>
  </w:num>
  <w:num w:numId="41">
    <w:abstractNumId w:val="2"/>
  </w:num>
  <w:num w:numId="42">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embedSystemFonts/>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E7C56"/>
    <w:rsid w:val="0001287E"/>
    <w:rsid w:val="0001494F"/>
    <w:rsid w:val="00123DE4"/>
    <w:rsid w:val="00186DE8"/>
    <w:rsid w:val="001A1E16"/>
    <w:rsid w:val="002D3BBB"/>
    <w:rsid w:val="003377D2"/>
    <w:rsid w:val="00403888"/>
    <w:rsid w:val="00421054"/>
    <w:rsid w:val="004317E6"/>
    <w:rsid w:val="00460BC4"/>
    <w:rsid w:val="00525F6E"/>
    <w:rsid w:val="005F6481"/>
    <w:rsid w:val="00637595"/>
    <w:rsid w:val="00667BA7"/>
    <w:rsid w:val="0072529F"/>
    <w:rsid w:val="007B44DB"/>
    <w:rsid w:val="008625E3"/>
    <w:rsid w:val="008E125D"/>
    <w:rsid w:val="00982EA6"/>
    <w:rsid w:val="00994CF5"/>
    <w:rsid w:val="009B254D"/>
    <w:rsid w:val="009F6738"/>
    <w:rsid w:val="00A33A29"/>
    <w:rsid w:val="00A44D83"/>
    <w:rsid w:val="00A508DE"/>
    <w:rsid w:val="00B86A6D"/>
    <w:rsid w:val="00C040ED"/>
    <w:rsid w:val="00CD70F5"/>
    <w:rsid w:val="00D262F6"/>
    <w:rsid w:val="00D278D6"/>
    <w:rsid w:val="00DE7C56"/>
    <w:rsid w:val="00E31BB7"/>
    <w:rsid w:val="00EA36C6"/>
    <w:rsid w:val="00F607B3"/>
    <w:rsid w:val="00F726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70F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D70F5"/>
    <w:pPr>
      <w:tabs>
        <w:tab w:val="center" w:pos="4320"/>
        <w:tab w:val="right" w:pos="8640"/>
      </w:tabs>
    </w:pPr>
  </w:style>
  <w:style w:type="paragraph" w:styleId="Footer">
    <w:name w:val="footer"/>
    <w:basedOn w:val="Normal"/>
    <w:rsid w:val="00CD70F5"/>
    <w:pPr>
      <w:tabs>
        <w:tab w:val="center" w:pos="4320"/>
        <w:tab w:val="right" w:pos="8640"/>
      </w:tabs>
    </w:pPr>
  </w:style>
  <w:style w:type="paragraph" w:styleId="FootnoteText">
    <w:name w:val="footnote text"/>
    <w:basedOn w:val="Normal"/>
    <w:semiHidden/>
    <w:rsid w:val="00CD70F5"/>
  </w:style>
  <w:style w:type="character" w:styleId="FootnoteReference">
    <w:name w:val="footnote reference"/>
    <w:basedOn w:val="DefaultParagraphFont"/>
    <w:semiHidden/>
    <w:rsid w:val="00CD70F5"/>
    <w:rPr>
      <w:vertAlign w:val="superscript"/>
    </w:rPr>
  </w:style>
  <w:style w:type="paragraph" w:styleId="NormalWeb">
    <w:name w:val="Normal (Web)"/>
    <w:basedOn w:val="Normal"/>
    <w:uiPriority w:val="99"/>
    <w:unhideWhenUsed/>
    <w:rsid w:val="00186DE8"/>
    <w:pPr>
      <w:spacing w:before="100" w:beforeAutospacing="1" w:after="100" w:afterAutospacing="1"/>
    </w:pPr>
    <w:rPr>
      <w:sz w:val="24"/>
      <w:szCs w:val="24"/>
    </w:rPr>
  </w:style>
  <w:style w:type="paragraph" w:styleId="ListParagraph">
    <w:name w:val="List Paragraph"/>
    <w:basedOn w:val="Normal"/>
    <w:uiPriority w:val="34"/>
    <w:qFormat/>
    <w:rsid w:val="00421054"/>
    <w:pPr>
      <w:ind w:left="720"/>
    </w:pPr>
  </w:style>
</w:styles>
</file>

<file path=word/webSettings.xml><?xml version="1.0" encoding="utf-8"?>
<w:webSettings xmlns:r="http://schemas.openxmlformats.org/officeDocument/2006/relationships" xmlns:w="http://schemas.openxmlformats.org/wordprocessingml/2006/main">
  <w:divs>
    <w:div w:id="86829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Management &amp; Strategy D31 Professor Mazzeo</vt:lpstr>
    </vt:vector>
  </TitlesOfParts>
  <Company>KGSM</Company>
  <LinksUpToDate>false</LinksUpToDate>
  <CharactersWithSpaces>6675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 Strategy D31 Professor Mazzeo</dc:title>
  <dc:subject/>
  <dc:creator>Marcia Lind</dc:creator>
  <cp:keywords/>
  <cp:lastModifiedBy>mma317</cp:lastModifiedBy>
  <cp:revision>3</cp:revision>
  <cp:lastPrinted>2008-10-10T15:34:00Z</cp:lastPrinted>
  <dcterms:created xsi:type="dcterms:W3CDTF">2008-10-10T16:00:00Z</dcterms:created>
  <dcterms:modified xsi:type="dcterms:W3CDTF">2008-10-10T17:01:00Z</dcterms:modified>
</cp:coreProperties>
</file>