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B9A0" w14:textId="77777777" w:rsidR="009F288B" w:rsidRPr="00592C90" w:rsidRDefault="009F288B">
      <w:pPr>
        <w:pStyle w:val="Title"/>
        <w:rPr>
          <w:rFonts w:asciiTheme="majorHAnsi" w:hAnsiTheme="majorHAnsi"/>
          <w:szCs w:val="28"/>
        </w:rPr>
      </w:pPr>
      <w:r w:rsidRPr="00592C90">
        <w:rPr>
          <w:rFonts w:asciiTheme="majorHAnsi" w:hAnsiTheme="majorHAnsi"/>
          <w:szCs w:val="28"/>
        </w:rPr>
        <w:t>Craig Holden Furfine</w:t>
      </w:r>
    </w:p>
    <w:p w14:paraId="6C96C59C" w14:textId="77777777" w:rsidR="00592C90" w:rsidRDefault="00592C90">
      <w:pPr>
        <w:spacing w:after="0"/>
        <w:jc w:val="center"/>
        <w:rPr>
          <w:rFonts w:asciiTheme="majorHAnsi" w:hAnsiTheme="majorHAnsi"/>
          <w:sz w:val="24"/>
          <w:szCs w:val="24"/>
        </w:rPr>
      </w:pPr>
    </w:p>
    <w:p w14:paraId="318E7C3F" w14:textId="46870B5F" w:rsidR="00592C90" w:rsidRPr="00592C90" w:rsidRDefault="00592C90">
      <w:pPr>
        <w:spacing w:after="0"/>
        <w:jc w:val="center"/>
        <w:rPr>
          <w:rFonts w:asciiTheme="majorHAnsi" w:hAnsiTheme="majorHAnsi"/>
          <w:sz w:val="24"/>
          <w:szCs w:val="24"/>
        </w:rPr>
      </w:pPr>
      <w:r w:rsidRPr="00592C90">
        <w:rPr>
          <w:rFonts w:asciiTheme="majorHAnsi" w:hAnsiTheme="majorHAnsi"/>
          <w:sz w:val="24"/>
          <w:szCs w:val="24"/>
        </w:rPr>
        <w:t>Kellogg School of Management</w:t>
      </w:r>
    </w:p>
    <w:p w14:paraId="79979048" w14:textId="7F5FE635" w:rsidR="00592C90" w:rsidRPr="00592C90" w:rsidRDefault="00592C90">
      <w:pPr>
        <w:spacing w:after="0"/>
        <w:jc w:val="center"/>
        <w:rPr>
          <w:rFonts w:asciiTheme="majorHAnsi" w:hAnsiTheme="majorHAnsi"/>
          <w:sz w:val="24"/>
          <w:szCs w:val="24"/>
        </w:rPr>
      </w:pPr>
      <w:r w:rsidRPr="00592C90">
        <w:rPr>
          <w:rFonts w:asciiTheme="majorHAnsi" w:hAnsiTheme="majorHAnsi"/>
          <w:sz w:val="24"/>
          <w:szCs w:val="24"/>
        </w:rPr>
        <w:t>Northwestern University</w:t>
      </w:r>
    </w:p>
    <w:p w14:paraId="27E460BC" w14:textId="766B7F51" w:rsidR="00592C90" w:rsidRPr="00592C90" w:rsidRDefault="00592C90">
      <w:pPr>
        <w:spacing w:after="0"/>
        <w:jc w:val="center"/>
        <w:rPr>
          <w:rFonts w:asciiTheme="majorHAnsi" w:hAnsiTheme="majorHAnsi"/>
          <w:sz w:val="24"/>
          <w:szCs w:val="24"/>
        </w:rPr>
      </w:pPr>
      <w:r w:rsidRPr="00592C90">
        <w:rPr>
          <w:rFonts w:asciiTheme="majorHAnsi" w:hAnsiTheme="majorHAnsi"/>
          <w:sz w:val="24"/>
          <w:szCs w:val="24"/>
        </w:rPr>
        <w:t>2001 Sheridan Rd.</w:t>
      </w:r>
    </w:p>
    <w:p w14:paraId="1D0F7E43" w14:textId="1500425C" w:rsidR="00592C90" w:rsidRPr="00592C90" w:rsidRDefault="00592C90">
      <w:pPr>
        <w:spacing w:after="0"/>
        <w:jc w:val="center"/>
        <w:rPr>
          <w:rFonts w:asciiTheme="majorHAnsi" w:hAnsiTheme="majorHAnsi"/>
          <w:sz w:val="24"/>
          <w:szCs w:val="24"/>
        </w:rPr>
      </w:pPr>
      <w:r w:rsidRPr="00592C90">
        <w:rPr>
          <w:rFonts w:asciiTheme="majorHAnsi" w:hAnsiTheme="majorHAnsi"/>
          <w:sz w:val="24"/>
          <w:szCs w:val="24"/>
        </w:rPr>
        <w:t>Evanston, Illinois 60208</w:t>
      </w:r>
    </w:p>
    <w:p w14:paraId="288A0CDD" w14:textId="77777777" w:rsidR="009F288B" w:rsidRPr="00592C90" w:rsidRDefault="00745FE3">
      <w:pPr>
        <w:spacing w:after="0"/>
        <w:jc w:val="center"/>
        <w:rPr>
          <w:rFonts w:asciiTheme="majorHAnsi" w:hAnsiTheme="majorHAnsi"/>
          <w:sz w:val="24"/>
          <w:szCs w:val="24"/>
        </w:rPr>
      </w:pPr>
      <w:r w:rsidRPr="00592C90">
        <w:rPr>
          <w:rFonts w:asciiTheme="majorHAnsi" w:hAnsiTheme="majorHAnsi"/>
          <w:sz w:val="24"/>
          <w:szCs w:val="24"/>
        </w:rPr>
        <w:t>c-furfine@kellogg.northwestern.edu</w:t>
      </w:r>
    </w:p>
    <w:p w14:paraId="531C36AD" w14:textId="77777777" w:rsidR="00492992" w:rsidRPr="00592C90" w:rsidRDefault="00745FE3" w:rsidP="00492992">
      <w:pPr>
        <w:spacing w:after="0"/>
        <w:jc w:val="center"/>
        <w:rPr>
          <w:rFonts w:asciiTheme="majorHAnsi" w:hAnsiTheme="majorHAnsi"/>
          <w:sz w:val="24"/>
          <w:szCs w:val="24"/>
        </w:rPr>
      </w:pPr>
      <w:r w:rsidRPr="00592C90">
        <w:rPr>
          <w:rFonts w:asciiTheme="majorHAnsi" w:hAnsiTheme="majorHAnsi"/>
          <w:sz w:val="24"/>
          <w:szCs w:val="24"/>
        </w:rPr>
        <w:t>(847) 467-2905</w:t>
      </w:r>
    </w:p>
    <w:p w14:paraId="7C6A741E" w14:textId="77777777" w:rsidR="009F288B" w:rsidRPr="00592C90" w:rsidRDefault="009F288B">
      <w:pPr>
        <w:spacing w:after="0"/>
        <w:jc w:val="center"/>
        <w:rPr>
          <w:rFonts w:asciiTheme="majorHAnsi" w:hAnsiTheme="majorHAnsi"/>
          <w:sz w:val="24"/>
          <w:szCs w:val="24"/>
        </w:rPr>
      </w:pPr>
    </w:p>
    <w:p w14:paraId="1AF5AAF9" w14:textId="5FDAEBD9" w:rsidR="009F288B" w:rsidRPr="00592C90" w:rsidRDefault="00592C90">
      <w:pPr>
        <w:pStyle w:val="Heading5"/>
        <w:spacing w:before="180" w:after="120"/>
        <w:rPr>
          <w:rFonts w:asciiTheme="majorHAnsi" w:hAnsiTheme="majorHAnsi"/>
          <w:szCs w:val="24"/>
        </w:rPr>
      </w:pPr>
      <w:r w:rsidRPr="00592C90">
        <w:rPr>
          <w:rFonts w:asciiTheme="majorHAnsi" w:hAnsiTheme="majorHAnsi"/>
          <w:szCs w:val="24"/>
        </w:rPr>
        <w:t>EXPERIENCE</w:t>
      </w:r>
    </w:p>
    <w:tbl>
      <w:tblPr>
        <w:tblW w:w="0" w:type="auto"/>
        <w:tblLayout w:type="fixed"/>
        <w:tblLook w:val="0000" w:firstRow="0" w:lastRow="0" w:firstColumn="0" w:lastColumn="0" w:noHBand="0" w:noVBand="0"/>
      </w:tblPr>
      <w:tblGrid>
        <w:gridCol w:w="6204"/>
        <w:gridCol w:w="3038"/>
      </w:tblGrid>
      <w:tr w:rsidR="00592C90" w:rsidRPr="00592C90" w14:paraId="4418D3A9" w14:textId="77777777" w:rsidTr="00592C90">
        <w:trPr>
          <w:cantSplit/>
          <w:trHeight w:hRule="exact" w:val="284"/>
        </w:trPr>
        <w:tc>
          <w:tcPr>
            <w:tcW w:w="6204" w:type="dxa"/>
          </w:tcPr>
          <w:p w14:paraId="757DF2CE" w14:textId="77777777" w:rsidR="00592C90" w:rsidRPr="00592C90" w:rsidRDefault="00592C90" w:rsidP="00592C90">
            <w:pPr>
              <w:spacing w:after="0"/>
              <w:ind w:left="851" w:hanging="284"/>
              <w:jc w:val="left"/>
              <w:rPr>
                <w:rFonts w:asciiTheme="majorHAnsi" w:hAnsiTheme="majorHAnsi"/>
                <w:sz w:val="24"/>
                <w:szCs w:val="24"/>
              </w:rPr>
            </w:pPr>
            <w:r w:rsidRPr="00592C90">
              <w:rPr>
                <w:rFonts w:asciiTheme="majorHAnsi" w:hAnsiTheme="majorHAnsi"/>
                <w:b/>
                <w:sz w:val="24"/>
                <w:szCs w:val="24"/>
              </w:rPr>
              <w:t>Clinical Professor of Finance</w:t>
            </w:r>
          </w:p>
        </w:tc>
        <w:tc>
          <w:tcPr>
            <w:tcW w:w="3038" w:type="dxa"/>
          </w:tcPr>
          <w:p w14:paraId="7BD8B807" w14:textId="77777777" w:rsidR="00592C90" w:rsidRPr="00592C90" w:rsidRDefault="00592C90" w:rsidP="00592C90">
            <w:pPr>
              <w:pStyle w:val="Heading8"/>
              <w:ind w:left="456"/>
              <w:jc w:val="right"/>
              <w:rPr>
                <w:rFonts w:asciiTheme="majorHAnsi" w:hAnsiTheme="majorHAnsi"/>
                <w:i w:val="0"/>
                <w:szCs w:val="24"/>
              </w:rPr>
            </w:pPr>
            <w:r w:rsidRPr="00592C90">
              <w:rPr>
                <w:rFonts w:asciiTheme="majorHAnsi" w:hAnsiTheme="majorHAnsi"/>
                <w:i w:val="0"/>
                <w:szCs w:val="24"/>
              </w:rPr>
              <w:t xml:space="preserve">September 2008 - present </w:t>
            </w:r>
            <w:proofErr w:type="spellStart"/>
            <w:r w:rsidRPr="00592C90">
              <w:rPr>
                <w:rFonts w:asciiTheme="majorHAnsi" w:hAnsiTheme="majorHAnsi"/>
                <w:i w:val="0"/>
                <w:szCs w:val="24"/>
              </w:rPr>
              <w:t>present</w:t>
            </w:r>
            <w:proofErr w:type="spellEnd"/>
          </w:p>
        </w:tc>
      </w:tr>
    </w:tbl>
    <w:p w14:paraId="556DEF30" w14:textId="36309FC3" w:rsidR="00592C90" w:rsidRPr="00592C90" w:rsidRDefault="00592C90" w:rsidP="000122CD">
      <w:pPr>
        <w:spacing w:after="0"/>
        <w:ind w:left="990" w:hanging="284"/>
        <w:jc w:val="left"/>
        <w:rPr>
          <w:rFonts w:asciiTheme="majorHAnsi" w:hAnsiTheme="majorHAnsi"/>
          <w:sz w:val="24"/>
          <w:szCs w:val="24"/>
        </w:rPr>
      </w:pPr>
      <w:r w:rsidRPr="00592C90">
        <w:rPr>
          <w:rFonts w:asciiTheme="majorHAnsi" w:hAnsiTheme="majorHAnsi"/>
          <w:sz w:val="24"/>
          <w:szCs w:val="24"/>
        </w:rPr>
        <w:t>Kellogg School of Management, Northwestern University Evanston, IL</w:t>
      </w:r>
    </w:p>
    <w:p w14:paraId="3A6E23A1" w14:textId="041D28B2" w:rsidR="00592C90" w:rsidRDefault="00592C90" w:rsidP="000122CD">
      <w:pPr>
        <w:spacing w:after="0"/>
        <w:ind w:left="990"/>
        <w:rPr>
          <w:rFonts w:asciiTheme="majorHAnsi" w:hAnsiTheme="majorHAnsi"/>
          <w:sz w:val="24"/>
          <w:szCs w:val="24"/>
        </w:rPr>
      </w:pPr>
      <w:r w:rsidRPr="00592C90">
        <w:rPr>
          <w:rFonts w:asciiTheme="majorHAnsi" w:hAnsiTheme="majorHAnsi"/>
          <w:sz w:val="24"/>
          <w:szCs w:val="24"/>
        </w:rPr>
        <w:t>Courses taught: Real Estate Finance and Investments (MBA,</w:t>
      </w:r>
      <w:r>
        <w:rPr>
          <w:rFonts w:asciiTheme="majorHAnsi" w:hAnsiTheme="majorHAnsi"/>
          <w:sz w:val="24"/>
          <w:szCs w:val="24"/>
        </w:rPr>
        <w:t xml:space="preserve"> EMBA), Managerial Finance (EMBA)</w:t>
      </w:r>
    </w:p>
    <w:p w14:paraId="7951DE02" w14:textId="77777777" w:rsidR="00592C90" w:rsidRDefault="00592C90" w:rsidP="00592C90">
      <w:pPr>
        <w:spacing w:after="0"/>
        <w:rPr>
          <w:rFonts w:asciiTheme="majorHAnsi" w:hAnsiTheme="majorHAnsi"/>
          <w:sz w:val="24"/>
          <w:szCs w:val="24"/>
        </w:rPr>
      </w:pPr>
    </w:p>
    <w:tbl>
      <w:tblPr>
        <w:tblW w:w="0" w:type="auto"/>
        <w:tblLayout w:type="fixed"/>
        <w:tblLook w:val="0000" w:firstRow="0" w:lastRow="0" w:firstColumn="0" w:lastColumn="0" w:noHBand="0" w:noVBand="0"/>
      </w:tblPr>
      <w:tblGrid>
        <w:gridCol w:w="5148"/>
        <w:gridCol w:w="4094"/>
      </w:tblGrid>
      <w:tr w:rsidR="00592C90" w:rsidRPr="00592C90" w14:paraId="5CC27DF9" w14:textId="77777777" w:rsidTr="000122CD">
        <w:trPr>
          <w:cantSplit/>
          <w:trHeight w:hRule="exact" w:val="284"/>
        </w:trPr>
        <w:tc>
          <w:tcPr>
            <w:tcW w:w="5148" w:type="dxa"/>
          </w:tcPr>
          <w:p w14:paraId="39D124EF" w14:textId="1EE36141" w:rsidR="00592C90" w:rsidRPr="00592C90" w:rsidRDefault="00592C90" w:rsidP="00592C90">
            <w:pPr>
              <w:spacing w:after="0"/>
              <w:ind w:left="851" w:hanging="284"/>
              <w:jc w:val="left"/>
              <w:rPr>
                <w:rFonts w:asciiTheme="majorHAnsi" w:hAnsiTheme="majorHAnsi"/>
                <w:sz w:val="24"/>
                <w:szCs w:val="24"/>
              </w:rPr>
            </w:pPr>
            <w:r>
              <w:rPr>
                <w:rFonts w:asciiTheme="majorHAnsi" w:hAnsiTheme="majorHAnsi"/>
                <w:b/>
                <w:sz w:val="24"/>
                <w:szCs w:val="24"/>
              </w:rPr>
              <w:t>Visiting Associate</w:t>
            </w:r>
            <w:r w:rsidRPr="00592C90">
              <w:rPr>
                <w:rFonts w:asciiTheme="majorHAnsi" w:hAnsiTheme="majorHAnsi"/>
                <w:b/>
                <w:sz w:val="24"/>
                <w:szCs w:val="24"/>
              </w:rPr>
              <w:t xml:space="preserve"> Professor of Finance</w:t>
            </w:r>
          </w:p>
        </w:tc>
        <w:tc>
          <w:tcPr>
            <w:tcW w:w="4094" w:type="dxa"/>
          </w:tcPr>
          <w:p w14:paraId="2782B766" w14:textId="0EAFE392" w:rsidR="00592C90" w:rsidRPr="00592C90" w:rsidRDefault="00592C90" w:rsidP="00592C90">
            <w:pPr>
              <w:pStyle w:val="Heading8"/>
              <w:ind w:left="456"/>
              <w:jc w:val="right"/>
              <w:rPr>
                <w:rFonts w:asciiTheme="majorHAnsi" w:hAnsiTheme="majorHAnsi"/>
                <w:i w:val="0"/>
                <w:szCs w:val="24"/>
              </w:rPr>
            </w:pPr>
            <w:r w:rsidRPr="00592C90">
              <w:rPr>
                <w:rFonts w:asciiTheme="majorHAnsi" w:hAnsiTheme="majorHAnsi"/>
                <w:i w:val="0"/>
                <w:szCs w:val="24"/>
              </w:rPr>
              <w:t>September 200</w:t>
            </w:r>
            <w:r>
              <w:rPr>
                <w:rFonts w:asciiTheme="majorHAnsi" w:hAnsiTheme="majorHAnsi"/>
                <w:i w:val="0"/>
                <w:szCs w:val="24"/>
              </w:rPr>
              <w:t>7</w:t>
            </w:r>
            <w:r w:rsidRPr="00592C90">
              <w:rPr>
                <w:rFonts w:asciiTheme="majorHAnsi" w:hAnsiTheme="majorHAnsi"/>
                <w:i w:val="0"/>
                <w:szCs w:val="24"/>
              </w:rPr>
              <w:t xml:space="preserve"> </w:t>
            </w:r>
            <w:r>
              <w:rPr>
                <w:rFonts w:asciiTheme="majorHAnsi" w:hAnsiTheme="majorHAnsi"/>
                <w:i w:val="0"/>
                <w:szCs w:val="24"/>
              </w:rPr>
              <w:t>– August 2008</w:t>
            </w:r>
            <w:r w:rsidRPr="00592C90">
              <w:rPr>
                <w:rFonts w:asciiTheme="majorHAnsi" w:hAnsiTheme="majorHAnsi"/>
                <w:i w:val="0"/>
                <w:szCs w:val="24"/>
              </w:rPr>
              <w:t xml:space="preserve"> present </w:t>
            </w:r>
            <w:proofErr w:type="spellStart"/>
            <w:r w:rsidRPr="00592C90">
              <w:rPr>
                <w:rFonts w:asciiTheme="majorHAnsi" w:hAnsiTheme="majorHAnsi"/>
                <w:i w:val="0"/>
                <w:szCs w:val="24"/>
              </w:rPr>
              <w:t>present</w:t>
            </w:r>
            <w:proofErr w:type="spellEnd"/>
          </w:p>
        </w:tc>
      </w:tr>
    </w:tbl>
    <w:p w14:paraId="4E0822E6" w14:textId="77777777" w:rsidR="000122CD" w:rsidRPr="00592C90" w:rsidRDefault="000122CD" w:rsidP="000122CD">
      <w:pPr>
        <w:spacing w:after="0"/>
        <w:ind w:left="990" w:hanging="284"/>
        <w:jc w:val="left"/>
        <w:rPr>
          <w:rFonts w:asciiTheme="majorHAnsi" w:hAnsiTheme="majorHAnsi"/>
          <w:sz w:val="24"/>
          <w:szCs w:val="24"/>
        </w:rPr>
      </w:pPr>
      <w:r w:rsidRPr="00592C90">
        <w:rPr>
          <w:rFonts w:asciiTheme="majorHAnsi" w:hAnsiTheme="majorHAnsi"/>
          <w:sz w:val="24"/>
          <w:szCs w:val="24"/>
        </w:rPr>
        <w:t>Kellogg School of Management, Northwestern University Evanston, IL</w:t>
      </w:r>
    </w:p>
    <w:p w14:paraId="292FB5BC" w14:textId="291BC516" w:rsidR="000122CD" w:rsidRDefault="000122CD" w:rsidP="000122CD">
      <w:pPr>
        <w:spacing w:after="0"/>
        <w:ind w:left="990"/>
        <w:rPr>
          <w:rFonts w:asciiTheme="majorHAnsi" w:hAnsiTheme="majorHAnsi"/>
          <w:sz w:val="24"/>
          <w:szCs w:val="24"/>
        </w:rPr>
      </w:pPr>
      <w:r w:rsidRPr="00592C90">
        <w:rPr>
          <w:rFonts w:asciiTheme="majorHAnsi" w:hAnsiTheme="majorHAnsi"/>
          <w:sz w:val="24"/>
          <w:szCs w:val="24"/>
        </w:rPr>
        <w:t xml:space="preserve">Courses taught: </w:t>
      </w:r>
      <w:r>
        <w:rPr>
          <w:rFonts w:asciiTheme="majorHAnsi" w:hAnsiTheme="majorHAnsi"/>
          <w:sz w:val="24"/>
          <w:szCs w:val="24"/>
        </w:rPr>
        <w:t xml:space="preserve">Finance I (MBA), Derivatives I (MBA) </w:t>
      </w:r>
    </w:p>
    <w:p w14:paraId="05AB464B" w14:textId="77777777" w:rsidR="000D2939" w:rsidRPr="00592C90" w:rsidRDefault="000D2939" w:rsidP="000122CD">
      <w:pPr>
        <w:pStyle w:val="BodyTextIndent"/>
        <w:ind w:left="0"/>
        <w:rPr>
          <w:rFonts w:asciiTheme="majorHAnsi" w:hAnsiTheme="majorHAnsi"/>
          <w:sz w:val="24"/>
          <w:szCs w:val="24"/>
        </w:rPr>
      </w:pPr>
    </w:p>
    <w:tbl>
      <w:tblPr>
        <w:tblW w:w="0" w:type="auto"/>
        <w:tblLayout w:type="fixed"/>
        <w:tblLook w:val="0000" w:firstRow="0" w:lastRow="0" w:firstColumn="0" w:lastColumn="0" w:noHBand="0" w:noVBand="0"/>
      </w:tblPr>
      <w:tblGrid>
        <w:gridCol w:w="6204"/>
        <w:gridCol w:w="3038"/>
      </w:tblGrid>
      <w:tr w:rsidR="000D2939" w:rsidRPr="00592C90" w14:paraId="3224E145" w14:textId="77777777" w:rsidTr="00592C90">
        <w:trPr>
          <w:cantSplit/>
          <w:trHeight w:hRule="exact" w:val="284"/>
        </w:trPr>
        <w:tc>
          <w:tcPr>
            <w:tcW w:w="6204" w:type="dxa"/>
          </w:tcPr>
          <w:p w14:paraId="16B46039" w14:textId="4E1E40D8" w:rsidR="000D2939" w:rsidRPr="00592C90" w:rsidRDefault="000D2939" w:rsidP="00592C90">
            <w:pPr>
              <w:spacing w:after="0"/>
              <w:ind w:left="851" w:hanging="284"/>
              <w:jc w:val="left"/>
              <w:rPr>
                <w:rFonts w:asciiTheme="majorHAnsi" w:hAnsiTheme="majorHAnsi"/>
                <w:sz w:val="24"/>
                <w:szCs w:val="24"/>
              </w:rPr>
            </w:pPr>
            <w:r w:rsidRPr="00592C90">
              <w:rPr>
                <w:rFonts w:asciiTheme="majorHAnsi" w:hAnsiTheme="majorHAnsi"/>
                <w:b/>
                <w:sz w:val="24"/>
                <w:szCs w:val="24"/>
              </w:rPr>
              <w:t>Economic Advisor</w:t>
            </w:r>
            <w:r w:rsidRPr="00592C90">
              <w:rPr>
                <w:rFonts w:asciiTheme="majorHAnsi" w:hAnsiTheme="majorHAnsi"/>
                <w:sz w:val="24"/>
                <w:szCs w:val="24"/>
              </w:rPr>
              <w:t xml:space="preserve"> </w:t>
            </w:r>
          </w:p>
        </w:tc>
        <w:tc>
          <w:tcPr>
            <w:tcW w:w="3038" w:type="dxa"/>
          </w:tcPr>
          <w:p w14:paraId="20DC2E4B" w14:textId="77777777" w:rsidR="000D2939" w:rsidRPr="00592C90" w:rsidRDefault="000D2939" w:rsidP="00592C90">
            <w:pPr>
              <w:pStyle w:val="Heading8"/>
              <w:ind w:left="276"/>
              <w:jc w:val="right"/>
              <w:rPr>
                <w:rFonts w:asciiTheme="majorHAnsi" w:hAnsiTheme="majorHAnsi"/>
                <w:i w:val="0"/>
                <w:szCs w:val="24"/>
              </w:rPr>
            </w:pPr>
            <w:r w:rsidRPr="00592C90">
              <w:rPr>
                <w:rFonts w:asciiTheme="majorHAnsi" w:hAnsiTheme="majorHAnsi"/>
                <w:i w:val="0"/>
                <w:szCs w:val="24"/>
              </w:rPr>
              <w:t>July 2002 – August 2008</w:t>
            </w:r>
          </w:p>
          <w:p w14:paraId="39E8C6F1" w14:textId="77777777" w:rsidR="000D2939" w:rsidRPr="00592C90" w:rsidRDefault="000D2939" w:rsidP="00592C90">
            <w:pPr>
              <w:rPr>
                <w:rFonts w:asciiTheme="majorHAnsi" w:hAnsiTheme="majorHAnsi"/>
                <w:sz w:val="24"/>
                <w:szCs w:val="24"/>
              </w:rPr>
            </w:pPr>
          </w:p>
        </w:tc>
      </w:tr>
      <w:tr w:rsidR="000D2939" w:rsidRPr="00592C90" w14:paraId="30229B67" w14:textId="77777777" w:rsidTr="00592C90">
        <w:trPr>
          <w:cantSplit/>
          <w:trHeight w:hRule="exact" w:val="284"/>
        </w:trPr>
        <w:tc>
          <w:tcPr>
            <w:tcW w:w="6204" w:type="dxa"/>
          </w:tcPr>
          <w:p w14:paraId="4BE2E61D" w14:textId="022A731B" w:rsidR="000D2939" w:rsidRPr="00592C90" w:rsidRDefault="00592C90" w:rsidP="000122CD">
            <w:pPr>
              <w:spacing w:after="0"/>
              <w:ind w:left="990" w:hanging="284"/>
              <w:jc w:val="left"/>
              <w:rPr>
                <w:rFonts w:asciiTheme="majorHAnsi" w:hAnsiTheme="majorHAnsi"/>
                <w:sz w:val="24"/>
                <w:szCs w:val="24"/>
              </w:rPr>
            </w:pPr>
            <w:r w:rsidRPr="00592C90">
              <w:rPr>
                <w:rFonts w:asciiTheme="majorHAnsi" w:hAnsiTheme="majorHAnsi"/>
                <w:sz w:val="24"/>
                <w:szCs w:val="24"/>
              </w:rPr>
              <w:t xml:space="preserve">Federal Reserve Bank of Chicago, </w:t>
            </w:r>
            <w:r w:rsidR="000D2939" w:rsidRPr="00592C90">
              <w:rPr>
                <w:rFonts w:asciiTheme="majorHAnsi" w:hAnsiTheme="majorHAnsi"/>
                <w:sz w:val="24"/>
                <w:szCs w:val="24"/>
              </w:rPr>
              <w:t>Chicago, IL</w:t>
            </w:r>
          </w:p>
        </w:tc>
        <w:tc>
          <w:tcPr>
            <w:tcW w:w="3038" w:type="dxa"/>
          </w:tcPr>
          <w:p w14:paraId="5AA2BC67" w14:textId="77777777" w:rsidR="000D2939" w:rsidRPr="00592C90" w:rsidRDefault="000D2939" w:rsidP="00592C90">
            <w:pPr>
              <w:pStyle w:val="Heading8"/>
              <w:ind w:left="366"/>
              <w:jc w:val="right"/>
              <w:rPr>
                <w:rFonts w:asciiTheme="majorHAnsi" w:hAnsiTheme="majorHAnsi"/>
                <w:i w:val="0"/>
                <w:szCs w:val="24"/>
              </w:rPr>
            </w:pPr>
          </w:p>
        </w:tc>
      </w:tr>
    </w:tbl>
    <w:p w14:paraId="389A0983" w14:textId="1F23A54D" w:rsidR="000D2939" w:rsidRPr="00592C90" w:rsidRDefault="000D2939" w:rsidP="000D2939">
      <w:pPr>
        <w:pStyle w:val="BodyTextIndent"/>
        <w:ind w:left="993"/>
        <w:rPr>
          <w:rFonts w:asciiTheme="majorHAnsi" w:hAnsiTheme="majorHAnsi"/>
          <w:sz w:val="24"/>
          <w:szCs w:val="24"/>
        </w:rPr>
      </w:pPr>
      <w:r w:rsidRPr="00592C90">
        <w:rPr>
          <w:rFonts w:asciiTheme="majorHAnsi" w:hAnsiTheme="majorHAnsi"/>
          <w:sz w:val="24"/>
          <w:szCs w:val="24"/>
        </w:rPr>
        <w:t>Served as economics editor to the bank’s quarterly research publication. Assisted the President of the bank in his role as Chair of the Federal Reserve System’s Committee on Investment Performance.</w:t>
      </w:r>
    </w:p>
    <w:p w14:paraId="086BA84E" w14:textId="77777777" w:rsidR="000D2939" w:rsidRPr="00592C90" w:rsidRDefault="000D2939" w:rsidP="000D2939">
      <w:pPr>
        <w:rPr>
          <w:rFonts w:asciiTheme="majorHAnsi" w:hAnsiTheme="majorHAnsi"/>
          <w:sz w:val="24"/>
          <w:szCs w:val="24"/>
        </w:rPr>
      </w:pPr>
    </w:p>
    <w:tbl>
      <w:tblPr>
        <w:tblW w:w="0" w:type="auto"/>
        <w:tblLayout w:type="fixed"/>
        <w:tblLook w:val="0000" w:firstRow="0" w:lastRow="0" w:firstColumn="0" w:lastColumn="0" w:noHBand="0" w:noVBand="0"/>
      </w:tblPr>
      <w:tblGrid>
        <w:gridCol w:w="6204"/>
        <w:gridCol w:w="3038"/>
      </w:tblGrid>
      <w:tr w:rsidR="009F288B" w:rsidRPr="00592C90" w14:paraId="4B4B0C75" w14:textId="77777777">
        <w:trPr>
          <w:cantSplit/>
          <w:trHeight w:hRule="exact" w:val="284"/>
        </w:trPr>
        <w:tc>
          <w:tcPr>
            <w:tcW w:w="6204" w:type="dxa"/>
          </w:tcPr>
          <w:p w14:paraId="25247747" w14:textId="445DFEBF" w:rsidR="009F288B" w:rsidRPr="00592C90" w:rsidRDefault="009F288B" w:rsidP="000A5337">
            <w:pPr>
              <w:spacing w:after="0"/>
              <w:ind w:left="851" w:hanging="284"/>
              <w:jc w:val="left"/>
              <w:rPr>
                <w:rFonts w:asciiTheme="majorHAnsi" w:hAnsiTheme="majorHAnsi"/>
                <w:sz w:val="24"/>
                <w:szCs w:val="24"/>
              </w:rPr>
            </w:pPr>
            <w:r w:rsidRPr="00592C90">
              <w:rPr>
                <w:rFonts w:asciiTheme="majorHAnsi" w:hAnsiTheme="majorHAnsi"/>
                <w:b/>
                <w:sz w:val="24"/>
                <w:szCs w:val="24"/>
              </w:rPr>
              <w:t>Senior Economist</w:t>
            </w:r>
            <w:r w:rsidRPr="00592C90">
              <w:rPr>
                <w:rFonts w:asciiTheme="majorHAnsi" w:hAnsiTheme="majorHAnsi"/>
                <w:sz w:val="24"/>
                <w:szCs w:val="24"/>
              </w:rPr>
              <w:t xml:space="preserve"> </w:t>
            </w:r>
          </w:p>
        </w:tc>
        <w:tc>
          <w:tcPr>
            <w:tcW w:w="3038" w:type="dxa"/>
          </w:tcPr>
          <w:p w14:paraId="0300A874" w14:textId="77777777" w:rsidR="009F288B" w:rsidRPr="00592C90" w:rsidRDefault="009F288B">
            <w:pPr>
              <w:pStyle w:val="Heading8"/>
              <w:ind w:hanging="768"/>
              <w:jc w:val="right"/>
              <w:rPr>
                <w:rFonts w:asciiTheme="majorHAnsi" w:hAnsiTheme="majorHAnsi"/>
                <w:i w:val="0"/>
                <w:szCs w:val="24"/>
              </w:rPr>
            </w:pPr>
            <w:r w:rsidRPr="00592C90">
              <w:rPr>
                <w:rFonts w:asciiTheme="majorHAnsi" w:hAnsiTheme="majorHAnsi"/>
                <w:i w:val="0"/>
                <w:szCs w:val="24"/>
              </w:rPr>
              <w:t>June 1998 – June 2002</w:t>
            </w:r>
          </w:p>
        </w:tc>
      </w:tr>
    </w:tbl>
    <w:p w14:paraId="1F460E94" w14:textId="4D3205A8" w:rsidR="000A5337" w:rsidRDefault="000A5337" w:rsidP="000A5337">
      <w:pPr>
        <w:spacing w:after="0"/>
        <w:ind w:left="990" w:hanging="284"/>
        <w:jc w:val="left"/>
        <w:rPr>
          <w:rFonts w:asciiTheme="majorHAnsi" w:hAnsiTheme="majorHAnsi"/>
          <w:sz w:val="24"/>
          <w:szCs w:val="24"/>
        </w:rPr>
      </w:pPr>
      <w:r w:rsidRPr="00592C90">
        <w:rPr>
          <w:rFonts w:asciiTheme="majorHAnsi" w:hAnsiTheme="majorHAnsi"/>
          <w:sz w:val="24"/>
          <w:szCs w:val="24"/>
        </w:rPr>
        <w:t>Bank for International Settlements Basel, Switzerland</w:t>
      </w:r>
    </w:p>
    <w:p w14:paraId="06784A67" w14:textId="687A26C6" w:rsidR="009F288B" w:rsidRPr="00592C90" w:rsidRDefault="000A5337">
      <w:pPr>
        <w:pStyle w:val="BodyTextIndent"/>
        <w:ind w:left="993"/>
        <w:rPr>
          <w:rFonts w:asciiTheme="majorHAnsi" w:hAnsiTheme="majorHAnsi"/>
          <w:sz w:val="24"/>
          <w:szCs w:val="24"/>
        </w:rPr>
      </w:pPr>
      <w:r>
        <w:rPr>
          <w:rFonts w:asciiTheme="majorHAnsi" w:hAnsiTheme="majorHAnsi"/>
          <w:sz w:val="24"/>
          <w:szCs w:val="24"/>
        </w:rPr>
        <w:t>Contributed</w:t>
      </w:r>
      <w:r w:rsidR="009F288B" w:rsidRPr="00592C90">
        <w:rPr>
          <w:rFonts w:asciiTheme="majorHAnsi" w:hAnsiTheme="majorHAnsi"/>
          <w:sz w:val="24"/>
          <w:szCs w:val="24"/>
        </w:rPr>
        <w:t xml:space="preserve"> to the revision of international bank capital standards through membership of the Research Task Force of the Basel Committee.  </w:t>
      </w:r>
    </w:p>
    <w:p w14:paraId="4FCB1707" w14:textId="77777777" w:rsidR="009F288B" w:rsidRPr="00592C90" w:rsidRDefault="009F288B">
      <w:pPr>
        <w:rPr>
          <w:rFonts w:asciiTheme="majorHAnsi" w:hAnsiTheme="majorHAnsi"/>
          <w:sz w:val="24"/>
          <w:szCs w:val="24"/>
        </w:rPr>
      </w:pPr>
    </w:p>
    <w:tbl>
      <w:tblPr>
        <w:tblW w:w="0" w:type="auto"/>
        <w:tblLayout w:type="fixed"/>
        <w:tblLook w:val="0000" w:firstRow="0" w:lastRow="0" w:firstColumn="0" w:lastColumn="0" w:noHBand="0" w:noVBand="0"/>
      </w:tblPr>
      <w:tblGrid>
        <w:gridCol w:w="6345"/>
        <w:gridCol w:w="2897"/>
      </w:tblGrid>
      <w:tr w:rsidR="009F288B" w:rsidRPr="00592C90" w14:paraId="63DA0D24" w14:textId="77777777">
        <w:trPr>
          <w:cantSplit/>
          <w:trHeight w:hRule="exact" w:val="284"/>
        </w:trPr>
        <w:tc>
          <w:tcPr>
            <w:tcW w:w="6345" w:type="dxa"/>
          </w:tcPr>
          <w:p w14:paraId="3D3F3791" w14:textId="1CAE3D9E" w:rsidR="009F288B" w:rsidRPr="00592C90" w:rsidRDefault="009F288B" w:rsidP="000A5337">
            <w:pPr>
              <w:keepNext/>
              <w:ind w:left="567"/>
              <w:jc w:val="left"/>
              <w:outlineLvl w:val="6"/>
              <w:rPr>
                <w:rFonts w:asciiTheme="majorHAnsi" w:hAnsiTheme="majorHAnsi"/>
                <w:sz w:val="24"/>
                <w:szCs w:val="24"/>
              </w:rPr>
            </w:pPr>
            <w:r w:rsidRPr="00592C90">
              <w:rPr>
                <w:rFonts w:asciiTheme="majorHAnsi" w:hAnsiTheme="majorHAnsi"/>
                <w:b/>
                <w:sz w:val="24"/>
                <w:szCs w:val="24"/>
              </w:rPr>
              <w:t xml:space="preserve">Economist </w:t>
            </w:r>
            <w:r w:rsidRPr="00592C90">
              <w:rPr>
                <w:rFonts w:asciiTheme="majorHAnsi" w:hAnsiTheme="majorHAnsi"/>
                <w:sz w:val="24"/>
                <w:szCs w:val="24"/>
              </w:rPr>
              <w:t xml:space="preserve"> </w:t>
            </w:r>
          </w:p>
        </w:tc>
        <w:tc>
          <w:tcPr>
            <w:tcW w:w="2897" w:type="dxa"/>
          </w:tcPr>
          <w:p w14:paraId="3D438F37" w14:textId="77777777" w:rsidR="009F288B" w:rsidRPr="00592C90" w:rsidRDefault="009F288B">
            <w:pPr>
              <w:pStyle w:val="Heading7"/>
              <w:spacing w:after="120"/>
              <w:ind w:left="34"/>
              <w:jc w:val="right"/>
              <w:rPr>
                <w:rFonts w:asciiTheme="majorHAnsi" w:hAnsiTheme="majorHAnsi"/>
                <w:i w:val="0"/>
                <w:szCs w:val="24"/>
              </w:rPr>
            </w:pPr>
            <w:r w:rsidRPr="00592C90">
              <w:rPr>
                <w:rFonts w:asciiTheme="majorHAnsi" w:hAnsiTheme="majorHAnsi"/>
                <w:i w:val="0"/>
                <w:szCs w:val="24"/>
              </w:rPr>
              <w:t>August 1995 - May 1998</w:t>
            </w:r>
          </w:p>
        </w:tc>
      </w:tr>
    </w:tbl>
    <w:p w14:paraId="790988D5" w14:textId="77777777" w:rsidR="000A5337" w:rsidRDefault="000A5337" w:rsidP="000A5337">
      <w:pPr>
        <w:spacing w:after="0"/>
        <w:ind w:left="990" w:hanging="284"/>
        <w:jc w:val="left"/>
        <w:rPr>
          <w:rFonts w:asciiTheme="majorHAnsi" w:hAnsiTheme="majorHAnsi"/>
          <w:sz w:val="24"/>
          <w:szCs w:val="24"/>
        </w:rPr>
      </w:pPr>
      <w:r w:rsidRPr="00592C90">
        <w:rPr>
          <w:rFonts w:asciiTheme="majorHAnsi" w:hAnsiTheme="majorHAnsi"/>
          <w:sz w:val="24"/>
          <w:szCs w:val="24"/>
        </w:rPr>
        <w:t xml:space="preserve">Federal Reserve Board of Governors Washington, DC </w:t>
      </w:r>
    </w:p>
    <w:p w14:paraId="760FCF3F" w14:textId="719763BF" w:rsidR="009F288B" w:rsidRPr="00592C90" w:rsidRDefault="009F288B">
      <w:pPr>
        <w:pStyle w:val="BodyTextIndent"/>
        <w:ind w:left="993"/>
        <w:rPr>
          <w:rFonts w:asciiTheme="majorHAnsi" w:hAnsiTheme="majorHAnsi"/>
          <w:sz w:val="24"/>
          <w:szCs w:val="24"/>
        </w:rPr>
      </w:pPr>
      <w:r w:rsidRPr="00592C90">
        <w:rPr>
          <w:rFonts w:asciiTheme="majorHAnsi" w:hAnsiTheme="majorHAnsi"/>
          <w:sz w:val="24"/>
          <w:szCs w:val="24"/>
        </w:rPr>
        <w:t xml:space="preserve">Represented the Federal Reserve Board as member of the Steering Group on Foreign Exchange Settlement Risk under the auspices of the Bank for International Settlements’ Committee on Payment and Settlement Systems. </w:t>
      </w:r>
    </w:p>
    <w:p w14:paraId="4AC0868D" w14:textId="77777777" w:rsidR="000A5337" w:rsidRPr="00592C90" w:rsidRDefault="000A5337" w:rsidP="000A5337">
      <w:pPr>
        <w:pStyle w:val="Heading5"/>
        <w:spacing w:before="300" w:after="120"/>
        <w:rPr>
          <w:rFonts w:asciiTheme="majorHAnsi" w:hAnsiTheme="majorHAnsi"/>
          <w:szCs w:val="24"/>
        </w:rPr>
      </w:pPr>
      <w:r w:rsidRPr="00592C90">
        <w:rPr>
          <w:rFonts w:asciiTheme="majorHAnsi" w:hAnsiTheme="majorHAnsi"/>
          <w:szCs w:val="24"/>
        </w:rPr>
        <w:t>EDUCATION</w:t>
      </w:r>
    </w:p>
    <w:tbl>
      <w:tblPr>
        <w:tblW w:w="0" w:type="auto"/>
        <w:tblLayout w:type="fixed"/>
        <w:tblLook w:val="0000" w:firstRow="0" w:lastRow="0" w:firstColumn="0" w:lastColumn="0" w:noHBand="0" w:noVBand="0"/>
      </w:tblPr>
      <w:tblGrid>
        <w:gridCol w:w="9242"/>
      </w:tblGrid>
      <w:tr w:rsidR="000A5337" w:rsidRPr="00592C90" w14:paraId="4DA714AB" w14:textId="77777777" w:rsidTr="000A5337">
        <w:trPr>
          <w:cantSplit/>
        </w:trPr>
        <w:tc>
          <w:tcPr>
            <w:tcW w:w="9242" w:type="dxa"/>
          </w:tcPr>
          <w:p w14:paraId="56F69B0D" w14:textId="77777777" w:rsidR="000A5337" w:rsidRPr="00592C90" w:rsidRDefault="000A5337" w:rsidP="000A5337">
            <w:pPr>
              <w:spacing w:after="60"/>
              <w:ind w:left="567"/>
              <w:jc w:val="left"/>
              <w:rPr>
                <w:rFonts w:asciiTheme="majorHAnsi" w:hAnsiTheme="majorHAnsi"/>
                <w:sz w:val="24"/>
                <w:szCs w:val="24"/>
              </w:rPr>
            </w:pPr>
            <w:r w:rsidRPr="00592C90">
              <w:rPr>
                <w:rFonts w:asciiTheme="majorHAnsi" w:hAnsiTheme="majorHAnsi"/>
                <w:b/>
                <w:sz w:val="24"/>
                <w:szCs w:val="24"/>
              </w:rPr>
              <w:t xml:space="preserve">Stanford </w:t>
            </w:r>
            <w:proofErr w:type="gramStart"/>
            <w:r w:rsidRPr="00592C90">
              <w:rPr>
                <w:rFonts w:asciiTheme="majorHAnsi" w:hAnsiTheme="majorHAnsi"/>
                <w:b/>
                <w:sz w:val="24"/>
                <w:szCs w:val="24"/>
              </w:rPr>
              <w:t xml:space="preserve">University  </w:t>
            </w:r>
            <w:r w:rsidRPr="00592C90">
              <w:rPr>
                <w:rFonts w:asciiTheme="majorHAnsi" w:hAnsiTheme="majorHAnsi"/>
                <w:sz w:val="24"/>
                <w:szCs w:val="24"/>
              </w:rPr>
              <w:t>Stanford</w:t>
            </w:r>
            <w:proofErr w:type="gramEnd"/>
            <w:r w:rsidRPr="00592C90">
              <w:rPr>
                <w:rFonts w:asciiTheme="majorHAnsi" w:hAnsiTheme="majorHAnsi"/>
                <w:sz w:val="24"/>
                <w:szCs w:val="24"/>
              </w:rPr>
              <w:t xml:space="preserve">, California </w:t>
            </w:r>
          </w:p>
        </w:tc>
      </w:tr>
    </w:tbl>
    <w:p w14:paraId="1DD0C0E2" w14:textId="77777777" w:rsidR="000A5337" w:rsidRPr="00592C90" w:rsidRDefault="000A5337" w:rsidP="000A5337">
      <w:pPr>
        <w:pStyle w:val="BodyTextIndent"/>
        <w:ind w:left="851"/>
        <w:rPr>
          <w:rFonts w:asciiTheme="majorHAnsi" w:hAnsiTheme="majorHAnsi"/>
          <w:sz w:val="24"/>
          <w:szCs w:val="24"/>
        </w:rPr>
      </w:pPr>
      <w:r w:rsidRPr="00592C90">
        <w:rPr>
          <w:rFonts w:asciiTheme="majorHAnsi" w:hAnsiTheme="majorHAnsi"/>
          <w:i/>
          <w:sz w:val="24"/>
          <w:szCs w:val="24"/>
        </w:rPr>
        <w:t>Doctor of Philosophy</w:t>
      </w:r>
      <w:r w:rsidRPr="00592C90">
        <w:rPr>
          <w:rFonts w:asciiTheme="majorHAnsi" w:hAnsiTheme="majorHAnsi"/>
          <w:sz w:val="24"/>
          <w:szCs w:val="24"/>
        </w:rPr>
        <w:t xml:space="preserve"> in Economics, 1995</w:t>
      </w:r>
    </w:p>
    <w:p w14:paraId="1A0B5951" w14:textId="77777777" w:rsidR="000A5337" w:rsidRPr="00592C90" w:rsidRDefault="000A5337" w:rsidP="000A5337">
      <w:pPr>
        <w:pStyle w:val="BodyTextIndent"/>
        <w:ind w:left="851"/>
        <w:rPr>
          <w:rFonts w:asciiTheme="majorHAnsi" w:hAnsiTheme="majorHAnsi"/>
          <w:sz w:val="24"/>
          <w:szCs w:val="24"/>
        </w:rPr>
      </w:pPr>
      <w:r w:rsidRPr="00592C90">
        <w:rPr>
          <w:rFonts w:asciiTheme="majorHAnsi" w:hAnsiTheme="majorHAnsi"/>
          <w:i/>
          <w:sz w:val="24"/>
          <w:szCs w:val="24"/>
        </w:rPr>
        <w:t>Master of Arts</w:t>
      </w:r>
      <w:r w:rsidRPr="00592C90">
        <w:rPr>
          <w:rFonts w:asciiTheme="majorHAnsi" w:hAnsiTheme="majorHAnsi"/>
          <w:sz w:val="24"/>
          <w:szCs w:val="24"/>
        </w:rPr>
        <w:t xml:space="preserve"> in Economics, 1993</w:t>
      </w:r>
    </w:p>
    <w:tbl>
      <w:tblPr>
        <w:tblW w:w="0" w:type="auto"/>
        <w:tblLayout w:type="fixed"/>
        <w:tblLook w:val="0000" w:firstRow="0" w:lastRow="0" w:firstColumn="0" w:lastColumn="0" w:noHBand="0" w:noVBand="0"/>
      </w:tblPr>
      <w:tblGrid>
        <w:gridCol w:w="9242"/>
      </w:tblGrid>
      <w:tr w:rsidR="000A5337" w:rsidRPr="00592C90" w14:paraId="5DE4AB19" w14:textId="77777777" w:rsidTr="000A5337">
        <w:trPr>
          <w:cantSplit/>
        </w:trPr>
        <w:tc>
          <w:tcPr>
            <w:tcW w:w="9242" w:type="dxa"/>
          </w:tcPr>
          <w:p w14:paraId="406E2DED" w14:textId="77777777" w:rsidR="000A5337" w:rsidRPr="00592C90" w:rsidRDefault="000A5337" w:rsidP="000A5337">
            <w:pPr>
              <w:spacing w:before="180"/>
              <w:ind w:left="567"/>
              <w:jc w:val="left"/>
              <w:rPr>
                <w:rFonts w:asciiTheme="majorHAnsi" w:hAnsiTheme="majorHAnsi"/>
                <w:sz w:val="24"/>
                <w:szCs w:val="24"/>
              </w:rPr>
            </w:pPr>
            <w:r w:rsidRPr="00592C90">
              <w:rPr>
                <w:rFonts w:asciiTheme="majorHAnsi" w:hAnsiTheme="majorHAnsi"/>
                <w:b/>
                <w:sz w:val="24"/>
                <w:szCs w:val="24"/>
              </w:rPr>
              <w:t xml:space="preserve">University of </w:t>
            </w:r>
            <w:proofErr w:type="gramStart"/>
            <w:r w:rsidRPr="00592C90">
              <w:rPr>
                <w:rFonts w:asciiTheme="majorHAnsi" w:hAnsiTheme="majorHAnsi"/>
                <w:b/>
                <w:sz w:val="24"/>
                <w:szCs w:val="24"/>
              </w:rPr>
              <w:t xml:space="preserve">California  </w:t>
            </w:r>
            <w:r w:rsidRPr="00592C90">
              <w:rPr>
                <w:rFonts w:asciiTheme="majorHAnsi" w:hAnsiTheme="majorHAnsi"/>
                <w:sz w:val="24"/>
                <w:szCs w:val="24"/>
              </w:rPr>
              <w:t>Berkeley</w:t>
            </w:r>
            <w:proofErr w:type="gramEnd"/>
            <w:r w:rsidRPr="00592C90">
              <w:rPr>
                <w:rFonts w:asciiTheme="majorHAnsi" w:hAnsiTheme="majorHAnsi"/>
                <w:sz w:val="24"/>
                <w:szCs w:val="24"/>
              </w:rPr>
              <w:t>, California</w:t>
            </w:r>
          </w:p>
        </w:tc>
      </w:tr>
    </w:tbl>
    <w:p w14:paraId="2884BB4B" w14:textId="77777777" w:rsidR="000A5337" w:rsidRPr="00592C90" w:rsidRDefault="000A5337" w:rsidP="000A5337">
      <w:pPr>
        <w:pStyle w:val="BodyTextIndent"/>
        <w:ind w:left="851"/>
        <w:rPr>
          <w:rFonts w:asciiTheme="majorHAnsi" w:hAnsiTheme="majorHAnsi"/>
          <w:sz w:val="24"/>
          <w:szCs w:val="24"/>
        </w:rPr>
      </w:pPr>
      <w:r w:rsidRPr="00592C90">
        <w:rPr>
          <w:rFonts w:asciiTheme="majorHAnsi" w:hAnsiTheme="majorHAnsi"/>
          <w:i/>
          <w:sz w:val="24"/>
          <w:szCs w:val="24"/>
        </w:rPr>
        <w:t>Bachelor of Arts</w:t>
      </w:r>
      <w:r w:rsidRPr="00592C90">
        <w:rPr>
          <w:rFonts w:asciiTheme="majorHAnsi" w:hAnsiTheme="majorHAnsi"/>
          <w:sz w:val="24"/>
          <w:szCs w:val="24"/>
        </w:rPr>
        <w:t xml:space="preserve"> in Economics, 1990</w:t>
      </w:r>
    </w:p>
    <w:p w14:paraId="23F6FE15" w14:textId="6011BA18" w:rsidR="000A5337" w:rsidRDefault="000A5337" w:rsidP="000A5337">
      <w:pPr>
        <w:pStyle w:val="Heading5"/>
        <w:spacing w:before="300" w:after="120"/>
        <w:rPr>
          <w:rFonts w:asciiTheme="majorHAnsi" w:hAnsiTheme="majorHAnsi"/>
          <w:szCs w:val="24"/>
        </w:rPr>
      </w:pPr>
      <w:r>
        <w:rPr>
          <w:rFonts w:asciiTheme="majorHAnsi" w:hAnsiTheme="majorHAnsi"/>
          <w:szCs w:val="24"/>
        </w:rPr>
        <w:lastRenderedPageBreak/>
        <w:t>PROFESSIONAL ACTIVITIES</w:t>
      </w:r>
    </w:p>
    <w:p w14:paraId="0567FEB4" w14:textId="77777777" w:rsidR="000A5337" w:rsidRDefault="000A5337" w:rsidP="000A5337">
      <w:pPr>
        <w:keepNext/>
        <w:spacing w:after="0"/>
        <w:ind w:left="994" w:hanging="288"/>
        <w:jc w:val="left"/>
        <w:rPr>
          <w:rFonts w:asciiTheme="majorHAnsi" w:hAnsiTheme="majorHAnsi"/>
          <w:sz w:val="24"/>
          <w:szCs w:val="24"/>
        </w:rPr>
      </w:pPr>
      <w:r>
        <w:rPr>
          <w:rFonts w:asciiTheme="majorHAnsi" w:hAnsiTheme="majorHAnsi"/>
          <w:sz w:val="24"/>
          <w:szCs w:val="24"/>
        </w:rPr>
        <w:t xml:space="preserve">Associate Editor, </w:t>
      </w:r>
      <w:r>
        <w:rPr>
          <w:rFonts w:asciiTheme="majorHAnsi" w:hAnsiTheme="majorHAnsi"/>
          <w:i/>
          <w:sz w:val="24"/>
          <w:szCs w:val="24"/>
        </w:rPr>
        <w:t xml:space="preserve">Journal of Money, Credit and Banking, </w:t>
      </w:r>
      <w:r>
        <w:rPr>
          <w:rFonts w:asciiTheme="majorHAnsi" w:hAnsiTheme="majorHAnsi"/>
          <w:sz w:val="24"/>
          <w:szCs w:val="24"/>
        </w:rPr>
        <w:t>2011-present</w:t>
      </w:r>
    </w:p>
    <w:p w14:paraId="331D667A" w14:textId="55CD9FF0" w:rsidR="000A5337" w:rsidRPr="00A365F6" w:rsidRDefault="000A5337" w:rsidP="00A365F6">
      <w:pPr>
        <w:spacing w:after="0"/>
        <w:ind w:left="990" w:hanging="284"/>
        <w:jc w:val="left"/>
        <w:rPr>
          <w:rFonts w:asciiTheme="majorHAnsi" w:hAnsiTheme="majorHAnsi"/>
          <w:sz w:val="24"/>
          <w:szCs w:val="24"/>
        </w:rPr>
      </w:pPr>
      <w:r>
        <w:rPr>
          <w:rFonts w:asciiTheme="majorHAnsi" w:hAnsiTheme="majorHAnsi"/>
          <w:sz w:val="24"/>
          <w:szCs w:val="24"/>
        </w:rPr>
        <w:t>Economics Editor, Federal Reserve Bank of Chicago Economic Perspectives 2004-2007</w:t>
      </w:r>
    </w:p>
    <w:p w14:paraId="6F62AD12" w14:textId="19D4748B" w:rsidR="00F44FF9" w:rsidRDefault="00F44FF9" w:rsidP="00F44FF9">
      <w:pPr>
        <w:pStyle w:val="Heading5"/>
        <w:spacing w:before="300" w:after="120"/>
        <w:rPr>
          <w:rFonts w:asciiTheme="majorHAnsi" w:hAnsiTheme="majorHAnsi"/>
          <w:szCs w:val="24"/>
        </w:rPr>
      </w:pPr>
      <w:r>
        <w:rPr>
          <w:rFonts w:asciiTheme="majorHAnsi" w:hAnsiTheme="majorHAnsi"/>
          <w:szCs w:val="24"/>
        </w:rPr>
        <w:t>OUTSIDE ACTIVITIES</w:t>
      </w:r>
    </w:p>
    <w:p w14:paraId="1910C455" w14:textId="6B253E09" w:rsidR="00F44FF9" w:rsidRDefault="00F44FF9" w:rsidP="00F44FF9">
      <w:pPr>
        <w:keepNext/>
        <w:spacing w:after="0"/>
        <w:ind w:left="994" w:hanging="288"/>
        <w:jc w:val="left"/>
        <w:rPr>
          <w:rFonts w:asciiTheme="majorHAnsi" w:hAnsiTheme="majorHAnsi"/>
          <w:sz w:val="24"/>
          <w:szCs w:val="24"/>
        </w:rPr>
      </w:pPr>
      <w:r>
        <w:rPr>
          <w:rFonts w:asciiTheme="majorHAnsi" w:hAnsiTheme="majorHAnsi"/>
          <w:sz w:val="24"/>
          <w:szCs w:val="24"/>
        </w:rPr>
        <w:t>Consultant, Federal Reserve Bank of Chicago</w:t>
      </w:r>
    </w:p>
    <w:p w14:paraId="0687A528" w14:textId="1B028C76" w:rsidR="00F44FF9" w:rsidRPr="0068770A" w:rsidRDefault="00F44FF9" w:rsidP="0068770A">
      <w:pPr>
        <w:keepNext/>
        <w:spacing w:after="0"/>
        <w:ind w:left="994" w:hanging="288"/>
        <w:jc w:val="left"/>
        <w:rPr>
          <w:rFonts w:asciiTheme="majorHAnsi" w:hAnsiTheme="majorHAnsi"/>
          <w:sz w:val="24"/>
          <w:szCs w:val="24"/>
        </w:rPr>
      </w:pPr>
      <w:r>
        <w:rPr>
          <w:rFonts w:asciiTheme="majorHAnsi" w:hAnsiTheme="majorHAnsi"/>
          <w:sz w:val="24"/>
          <w:szCs w:val="24"/>
        </w:rPr>
        <w:t>Consultant, Government agency requ</w:t>
      </w:r>
      <w:r w:rsidR="0068770A">
        <w:rPr>
          <w:rFonts w:asciiTheme="majorHAnsi" w:hAnsiTheme="majorHAnsi"/>
          <w:sz w:val="24"/>
          <w:szCs w:val="24"/>
        </w:rPr>
        <w:t>iring a nondisclosure agreement</w:t>
      </w:r>
      <w:bookmarkStart w:id="0" w:name="_GoBack"/>
      <w:bookmarkEnd w:id="0"/>
    </w:p>
    <w:p w14:paraId="22BE6954" w14:textId="77777777" w:rsidR="00F44FF9" w:rsidRPr="00592C90" w:rsidRDefault="00F44FF9" w:rsidP="00F44FF9">
      <w:pPr>
        <w:pStyle w:val="Heading5"/>
        <w:spacing w:before="300" w:after="120"/>
        <w:rPr>
          <w:rFonts w:asciiTheme="majorHAnsi" w:hAnsiTheme="majorHAnsi"/>
          <w:szCs w:val="24"/>
        </w:rPr>
      </w:pPr>
      <w:r w:rsidRPr="00592C90">
        <w:rPr>
          <w:rFonts w:asciiTheme="majorHAnsi" w:hAnsiTheme="majorHAnsi"/>
          <w:szCs w:val="24"/>
        </w:rPr>
        <w:t xml:space="preserve"> REFEREED PUBLICATIONS</w:t>
      </w:r>
    </w:p>
    <w:p w14:paraId="66DBB412" w14:textId="7DDB7D99" w:rsidR="00FE3583" w:rsidRPr="00592C90" w:rsidRDefault="00F44FF9" w:rsidP="00F44FF9">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w:t>
      </w:r>
      <w:r w:rsidR="00FE3583" w:rsidRPr="00592C90">
        <w:rPr>
          <w:rFonts w:asciiTheme="majorHAnsi" w:hAnsiTheme="majorHAnsi"/>
          <w:sz w:val="24"/>
          <w:szCs w:val="24"/>
        </w:rPr>
        <w:t xml:space="preserve">“Mergers Increase Default Risk,” with Richard J. Rosen, </w:t>
      </w:r>
      <w:r w:rsidR="00FE3583" w:rsidRPr="00592C90">
        <w:rPr>
          <w:rFonts w:asciiTheme="majorHAnsi" w:hAnsiTheme="majorHAnsi"/>
          <w:i/>
          <w:sz w:val="24"/>
          <w:szCs w:val="24"/>
        </w:rPr>
        <w:t>Journal of Corporate Finance</w:t>
      </w:r>
      <w:r w:rsidR="00FE3583" w:rsidRPr="00592C90">
        <w:rPr>
          <w:rFonts w:asciiTheme="majorHAnsi" w:hAnsiTheme="majorHAnsi"/>
          <w:sz w:val="24"/>
          <w:szCs w:val="24"/>
        </w:rPr>
        <w:t xml:space="preserve">, </w:t>
      </w:r>
      <w:r w:rsidR="00A365F6">
        <w:rPr>
          <w:rFonts w:asciiTheme="majorHAnsi" w:hAnsiTheme="majorHAnsi"/>
          <w:sz w:val="24"/>
          <w:szCs w:val="24"/>
        </w:rPr>
        <w:t xml:space="preserve">vol. 17 no.4, September </w:t>
      </w:r>
      <w:r w:rsidR="00FE3583" w:rsidRPr="00592C90">
        <w:rPr>
          <w:rFonts w:asciiTheme="majorHAnsi" w:hAnsiTheme="majorHAnsi"/>
          <w:sz w:val="24"/>
          <w:szCs w:val="24"/>
        </w:rPr>
        <w:t xml:space="preserve">2011, </w:t>
      </w:r>
      <w:r w:rsidR="00A365F6">
        <w:rPr>
          <w:rFonts w:asciiTheme="majorHAnsi" w:hAnsiTheme="majorHAnsi"/>
          <w:sz w:val="24"/>
          <w:szCs w:val="24"/>
        </w:rPr>
        <w:t>832-849</w:t>
      </w:r>
      <w:r w:rsidR="00FE3583" w:rsidRPr="00592C90">
        <w:rPr>
          <w:rFonts w:asciiTheme="majorHAnsi" w:hAnsiTheme="majorHAnsi"/>
          <w:sz w:val="24"/>
          <w:szCs w:val="24"/>
        </w:rPr>
        <w:t>.</w:t>
      </w:r>
    </w:p>
    <w:p w14:paraId="1428EFE7" w14:textId="1597FC38" w:rsidR="00ED0F14" w:rsidRPr="00592C90" w:rsidRDefault="00ED0F14">
      <w:pPr>
        <w:pStyle w:val="BodyTextIndent"/>
        <w:spacing w:after="80"/>
        <w:ind w:left="851" w:hanging="284"/>
        <w:rPr>
          <w:rFonts w:asciiTheme="majorHAnsi" w:hAnsiTheme="majorHAnsi"/>
          <w:sz w:val="24"/>
          <w:szCs w:val="24"/>
        </w:rPr>
      </w:pPr>
      <w:r w:rsidRPr="00592C90">
        <w:rPr>
          <w:rFonts w:asciiTheme="majorHAnsi" w:hAnsiTheme="majorHAnsi"/>
          <w:sz w:val="24"/>
          <w:szCs w:val="24"/>
        </w:rPr>
        <w:t>“When is Inter</w:t>
      </w:r>
      <w:r w:rsidR="003E7B9A" w:rsidRPr="00592C90">
        <w:rPr>
          <w:rFonts w:asciiTheme="majorHAnsi" w:hAnsiTheme="majorHAnsi"/>
          <w:sz w:val="24"/>
          <w:szCs w:val="24"/>
        </w:rPr>
        <w:t>-Transaction Time Informative?”</w:t>
      </w:r>
      <w:r w:rsidRPr="00592C90">
        <w:rPr>
          <w:rFonts w:asciiTheme="majorHAnsi" w:hAnsiTheme="majorHAnsi"/>
          <w:sz w:val="24"/>
          <w:szCs w:val="24"/>
        </w:rPr>
        <w:t xml:space="preserve"> 200</w:t>
      </w:r>
      <w:r w:rsidR="00BB0C93" w:rsidRPr="00592C90">
        <w:rPr>
          <w:rFonts w:asciiTheme="majorHAnsi" w:hAnsiTheme="majorHAnsi"/>
          <w:sz w:val="24"/>
          <w:szCs w:val="24"/>
        </w:rPr>
        <w:t>7</w:t>
      </w:r>
      <w:r w:rsidRPr="00592C90">
        <w:rPr>
          <w:rFonts w:asciiTheme="majorHAnsi" w:hAnsiTheme="majorHAnsi"/>
          <w:sz w:val="24"/>
          <w:szCs w:val="24"/>
        </w:rPr>
        <w:t xml:space="preserve">, </w:t>
      </w:r>
      <w:r w:rsidRPr="00592C90">
        <w:rPr>
          <w:rFonts w:asciiTheme="majorHAnsi" w:hAnsiTheme="majorHAnsi"/>
          <w:i/>
          <w:sz w:val="24"/>
          <w:szCs w:val="24"/>
        </w:rPr>
        <w:t>Journal of Empirical Finance</w:t>
      </w:r>
      <w:r w:rsidRPr="00592C90">
        <w:rPr>
          <w:rFonts w:asciiTheme="majorHAnsi" w:hAnsiTheme="majorHAnsi"/>
          <w:sz w:val="24"/>
          <w:szCs w:val="24"/>
        </w:rPr>
        <w:t xml:space="preserve">, </w:t>
      </w:r>
      <w:r w:rsidR="00BB0C93" w:rsidRPr="00592C90">
        <w:rPr>
          <w:rFonts w:asciiTheme="majorHAnsi" w:hAnsiTheme="majorHAnsi"/>
          <w:sz w:val="24"/>
          <w:szCs w:val="24"/>
        </w:rPr>
        <w:t>vol. 14, no. 3, pp. 310-332</w:t>
      </w:r>
      <w:r w:rsidRPr="00592C90">
        <w:rPr>
          <w:rFonts w:asciiTheme="majorHAnsi" w:hAnsiTheme="majorHAnsi"/>
          <w:sz w:val="24"/>
          <w:szCs w:val="24"/>
        </w:rPr>
        <w:t>.</w:t>
      </w:r>
      <w:r w:rsidR="009F288B" w:rsidRPr="00592C90">
        <w:rPr>
          <w:rFonts w:asciiTheme="majorHAnsi" w:hAnsiTheme="majorHAnsi"/>
          <w:sz w:val="24"/>
          <w:szCs w:val="24"/>
        </w:rPr>
        <w:t xml:space="preserve"> </w:t>
      </w:r>
    </w:p>
    <w:p w14:paraId="018821ED"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“The Costs and Benefits of Moral Suasion: Evidence from the Creditors of Long-Term Capital Management,” </w:t>
      </w:r>
      <w:r w:rsidR="00CD0CDA" w:rsidRPr="00592C90">
        <w:rPr>
          <w:rFonts w:asciiTheme="majorHAnsi" w:hAnsiTheme="majorHAnsi"/>
          <w:sz w:val="24"/>
          <w:szCs w:val="24"/>
        </w:rPr>
        <w:t xml:space="preserve">2006, </w:t>
      </w:r>
      <w:r w:rsidRPr="00592C90">
        <w:rPr>
          <w:rFonts w:asciiTheme="majorHAnsi" w:hAnsiTheme="majorHAnsi"/>
          <w:i/>
          <w:sz w:val="24"/>
          <w:szCs w:val="24"/>
        </w:rPr>
        <w:t>The Journal of Business</w:t>
      </w:r>
      <w:r w:rsidR="00ED0F14" w:rsidRPr="00592C90">
        <w:rPr>
          <w:rFonts w:asciiTheme="majorHAnsi" w:hAnsiTheme="majorHAnsi"/>
          <w:sz w:val="24"/>
          <w:szCs w:val="24"/>
        </w:rPr>
        <w:t>, vol. 79 no. 2, pp. 593-622.</w:t>
      </w:r>
    </w:p>
    <w:p w14:paraId="5E8A2CA1" w14:textId="77777777" w:rsidR="009F288B" w:rsidRPr="00592C90" w:rsidRDefault="009F288B">
      <w:pPr>
        <w:pStyle w:val="BodyTextIndent"/>
        <w:spacing w:after="80"/>
        <w:ind w:left="851" w:hanging="284"/>
        <w:rPr>
          <w:rFonts w:asciiTheme="majorHAnsi" w:hAnsiTheme="majorHAnsi"/>
          <w:sz w:val="24"/>
          <w:szCs w:val="24"/>
        </w:rPr>
      </w:pPr>
      <w:proofErr w:type="gramStart"/>
      <w:r w:rsidRPr="00592C90">
        <w:rPr>
          <w:rFonts w:asciiTheme="majorHAnsi" w:hAnsiTheme="majorHAnsi"/>
          <w:sz w:val="24"/>
          <w:szCs w:val="24"/>
        </w:rPr>
        <w:t xml:space="preserve">“Are credit ratings </w:t>
      </w:r>
      <w:proofErr w:type="spellStart"/>
      <w:r w:rsidRPr="00592C90">
        <w:rPr>
          <w:rFonts w:asciiTheme="majorHAnsi" w:hAnsiTheme="majorHAnsi"/>
          <w:sz w:val="24"/>
          <w:szCs w:val="24"/>
        </w:rPr>
        <w:t>procyclical</w:t>
      </w:r>
      <w:proofErr w:type="spellEnd"/>
      <w:r w:rsidRPr="00592C90">
        <w:rPr>
          <w:rFonts w:asciiTheme="majorHAnsi" w:hAnsiTheme="majorHAnsi"/>
          <w:sz w:val="24"/>
          <w:szCs w:val="24"/>
        </w:rPr>
        <w:t xml:space="preserve">?” with Jeffery Amato, </w:t>
      </w:r>
      <w:r w:rsidRPr="00592C90">
        <w:rPr>
          <w:rFonts w:asciiTheme="majorHAnsi" w:hAnsiTheme="majorHAnsi"/>
          <w:i/>
          <w:sz w:val="24"/>
          <w:szCs w:val="24"/>
        </w:rPr>
        <w:t>Journal of Banking and Finance</w:t>
      </w:r>
      <w:r w:rsidR="00F90483" w:rsidRPr="00592C90">
        <w:rPr>
          <w:rFonts w:asciiTheme="majorHAnsi" w:hAnsiTheme="majorHAnsi"/>
          <w:sz w:val="24"/>
          <w:szCs w:val="24"/>
        </w:rPr>
        <w:t>, 2004, vol. 28, pp. 2641-2677.</w:t>
      </w:r>
      <w:proofErr w:type="gramEnd"/>
    </w:p>
    <w:p w14:paraId="75DF0AC8"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“Public Disclosures and Calendar-Related Movements in Risk Premiums: Evidence from Interbank Lending,” January 2004, </w:t>
      </w:r>
      <w:r w:rsidRPr="00592C90">
        <w:rPr>
          <w:rFonts w:asciiTheme="majorHAnsi" w:hAnsiTheme="majorHAnsi"/>
          <w:i/>
          <w:sz w:val="24"/>
          <w:szCs w:val="24"/>
        </w:rPr>
        <w:t>Journal of Financial Markets</w:t>
      </w:r>
      <w:r w:rsidRPr="00592C90">
        <w:rPr>
          <w:rFonts w:asciiTheme="majorHAnsi" w:hAnsiTheme="majorHAnsi"/>
          <w:sz w:val="24"/>
          <w:szCs w:val="24"/>
        </w:rPr>
        <w:t>, vol. 7 no. 1, pp. 97-116.</w:t>
      </w:r>
    </w:p>
    <w:p w14:paraId="08AD8E59"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“Standing facilities and interbank borrowing: Evidence from the Fed’s new discount window,” December 2003, </w:t>
      </w:r>
      <w:r w:rsidRPr="00592C90">
        <w:rPr>
          <w:rFonts w:asciiTheme="majorHAnsi" w:hAnsiTheme="majorHAnsi"/>
          <w:i/>
          <w:sz w:val="24"/>
          <w:szCs w:val="24"/>
        </w:rPr>
        <w:t>International Finance</w:t>
      </w:r>
      <w:r w:rsidRPr="00592C90">
        <w:rPr>
          <w:rFonts w:asciiTheme="majorHAnsi" w:hAnsiTheme="majorHAnsi"/>
          <w:sz w:val="24"/>
          <w:szCs w:val="24"/>
        </w:rPr>
        <w:t>,</w:t>
      </w:r>
      <w:r w:rsidRPr="00592C90">
        <w:rPr>
          <w:rFonts w:asciiTheme="majorHAnsi" w:hAnsiTheme="majorHAnsi"/>
          <w:i/>
          <w:sz w:val="24"/>
          <w:szCs w:val="24"/>
        </w:rPr>
        <w:t xml:space="preserve"> </w:t>
      </w:r>
      <w:r w:rsidRPr="00592C90">
        <w:rPr>
          <w:rFonts w:asciiTheme="majorHAnsi" w:hAnsiTheme="majorHAnsi"/>
          <w:sz w:val="24"/>
          <w:szCs w:val="24"/>
        </w:rPr>
        <w:t>vol. 6 no. 3, pp. 329-347.</w:t>
      </w:r>
    </w:p>
    <w:p w14:paraId="053AB132"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“Interbank Exposures: Quantifying the Risk of Contagion,” </w:t>
      </w:r>
      <w:r w:rsidRPr="00592C90">
        <w:rPr>
          <w:rFonts w:asciiTheme="majorHAnsi" w:hAnsiTheme="majorHAnsi"/>
          <w:i/>
          <w:sz w:val="24"/>
          <w:szCs w:val="24"/>
        </w:rPr>
        <w:t>Journal of Money, Credit, and Banking</w:t>
      </w:r>
      <w:r w:rsidRPr="00592C90">
        <w:rPr>
          <w:rFonts w:asciiTheme="majorHAnsi" w:hAnsiTheme="majorHAnsi"/>
          <w:sz w:val="24"/>
          <w:szCs w:val="24"/>
        </w:rPr>
        <w:t>, February 2003, vol. 35 no. 1, pp. 111-128.</w:t>
      </w:r>
    </w:p>
    <w:p w14:paraId="37AC7BDE" w14:textId="77777777" w:rsidR="009F288B" w:rsidRPr="00592C90" w:rsidRDefault="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w:t>
      </w:r>
      <w:r w:rsidR="009F288B" w:rsidRPr="00592C90">
        <w:rPr>
          <w:rFonts w:asciiTheme="majorHAnsi" w:hAnsiTheme="majorHAnsi"/>
          <w:sz w:val="24"/>
          <w:szCs w:val="24"/>
        </w:rPr>
        <w:t xml:space="preserve">“Interbank Markets in a Crisis,” </w:t>
      </w:r>
      <w:r w:rsidR="009F288B" w:rsidRPr="00592C90">
        <w:rPr>
          <w:rFonts w:asciiTheme="majorHAnsi" w:hAnsiTheme="majorHAnsi"/>
          <w:i/>
          <w:sz w:val="24"/>
          <w:szCs w:val="24"/>
        </w:rPr>
        <w:t>European Economic Review</w:t>
      </w:r>
      <w:r w:rsidR="009F288B" w:rsidRPr="00592C90">
        <w:rPr>
          <w:rFonts w:asciiTheme="majorHAnsi" w:hAnsiTheme="majorHAnsi"/>
          <w:sz w:val="24"/>
          <w:szCs w:val="24"/>
        </w:rPr>
        <w:t>, May 2002, vol. 46 no. 4-5, pp. 809-820.</w:t>
      </w:r>
    </w:p>
    <w:p w14:paraId="6F18D008"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“Bank Portfolio Allocation: The Impact of Capital Requirements, Regulatory Monitoring, and Economic Conditions,” </w:t>
      </w:r>
      <w:r w:rsidRPr="00592C90">
        <w:rPr>
          <w:rFonts w:asciiTheme="majorHAnsi" w:hAnsiTheme="majorHAnsi"/>
          <w:i/>
          <w:sz w:val="24"/>
          <w:szCs w:val="24"/>
        </w:rPr>
        <w:t>Journal of Financial Services Research</w:t>
      </w:r>
      <w:r w:rsidRPr="00592C90">
        <w:rPr>
          <w:rFonts w:asciiTheme="majorHAnsi" w:hAnsiTheme="majorHAnsi"/>
          <w:sz w:val="24"/>
          <w:szCs w:val="24"/>
        </w:rPr>
        <w:t>, 2001, vol. 20 no. 1, pp. 33-56.</w:t>
      </w:r>
    </w:p>
    <w:p w14:paraId="25F1C1B0" w14:textId="77777777" w:rsidR="009F288B" w:rsidRPr="00592C90" w:rsidRDefault="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w:t>
      </w:r>
      <w:r w:rsidR="009F288B" w:rsidRPr="00592C90">
        <w:rPr>
          <w:rFonts w:asciiTheme="majorHAnsi" w:hAnsiTheme="majorHAnsi"/>
          <w:sz w:val="24"/>
          <w:szCs w:val="24"/>
        </w:rPr>
        <w:t xml:space="preserve">“The Reluctance to Borrow from the Fed,” </w:t>
      </w:r>
      <w:r w:rsidR="009F288B" w:rsidRPr="00592C90">
        <w:rPr>
          <w:rFonts w:asciiTheme="majorHAnsi" w:hAnsiTheme="majorHAnsi"/>
          <w:i/>
          <w:sz w:val="24"/>
          <w:szCs w:val="24"/>
        </w:rPr>
        <w:t>Economics Letters</w:t>
      </w:r>
      <w:r w:rsidR="009F288B" w:rsidRPr="00592C90">
        <w:rPr>
          <w:rFonts w:asciiTheme="majorHAnsi" w:hAnsiTheme="majorHAnsi"/>
          <w:sz w:val="24"/>
          <w:szCs w:val="24"/>
        </w:rPr>
        <w:t>, 2001, vol. 72 no. 2, pp. 209-213.</w:t>
      </w:r>
    </w:p>
    <w:p w14:paraId="46A03D4D" w14:textId="77777777" w:rsidR="009F288B" w:rsidRPr="00592C90" w:rsidRDefault="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w:t>
      </w:r>
      <w:r w:rsidR="009F288B" w:rsidRPr="00592C90">
        <w:rPr>
          <w:rFonts w:asciiTheme="majorHAnsi" w:hAnsiTheme="majorHAnsi"/>
          <w:sz w:val="24"/>
          <w:szCs w:val="24"/>
        </w:rPr>
        <w:t xml:space="preserve">“Banks Monitoring Banks: Evidence from the Overnight Federal Funds Market,” </w:t>
      </w:r>
      <w:r w:rsidR="009F288B" w:rsidRPr="00592C90">
        <w:rPr>
          <w:rFonts w:asciiTheme="majorHAnsi" w:hAnsiTheme="majorHAnsi"/>
          <w:i/>
          <w:sz w:val="24"/>
          <w:szCs w:val="24"/>
        </w:rPr>
        <w:t>The Journal of Business</w:t>
      </w:r>
      <w:r w:rsidR="009F288B" w:rsidRPr="00592C90">
        <w:rPr>
          <w:rFonts w:asciiTheme="majorHAnsi" w:hAnsiTheme="majorHAnsi"/>
          <w:sz w:val="24"/>
          <w:szCs w:val="24"/>
        </w:rPr>
        <w:t>, 2001, vol. 74 no. 1, pp. 33-58.</w:t>
      </w:r>
    </w:p>
    <w:p w14:paraId="0C5C8DF0"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“Interbank Payments and the Daily Federal Funds Rate,” </w:t>
      </w:r>
      <w:r w:rsidRPr="00592C90">
        <w:rPr>
          <w:rFonts w:asciiTheme="majorHAnsi" w:hAnsiTheme="majorHAnsi"/>
          <w:i/>
          <w:sz w:val="24"/>
          <w:szCs w:val="24"/>
        </w:rPr>
        <w:t>Journal of Monetary Economics</w:t>
      </w:r>
      <w:r w:rsidRPr="00592C90">
        <w:rPr>
          <w:rFonts w:asciiTheme="majorHAnsi" w:hAnsiTheme="majorHAnsi"/>
          <w:sz w:val="24"/>
          <w:szCs w:val="24"/>
        </w:rPr>
        <w:t>, 2000, vol. 46 no. 2, pp. 535-553.</w:t>
      </w:r>
    </w:p>
    <w:p w14:paraId="55BDF74B"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“The Microstructure of the Federal Funds Market,” </w:t>
      </w:r>
      <w:r w:rsidRPr="00592C90">
        <w:rPr>
          <w:rFonts w:asciiTheme="majorHAnsi" w:hAnsiTheme="majorHAnsi"/>
          <w:i/>
          <w:sz w:val="24"/>
          <w:szCs w:val="24"/>
        </w:rPr>
        <w:t>Financial Markets, Institutions, and Instruments</w:t>
      </w:r>
      <w:r w:rsidRPr="00592C90">
        <w:rPr>
          <w:rFonts w:asciiTheme="majorHAnsi" w:hAnsiTheme="majorHAnsi"/>
          <w:sz w:val="24"/>
          <w:szCs w:val="24"/>
        </w:rPr>
        <w:t>, 1999, vol. 8 no. 5, pp. 24-44.</w:t>
      </w:r>
    </w:p>
    <w:p w14:paraId="73C4E08B" w14:textId="77777777" w:rsidR="009F288B" w:rsidRPr="00592C90" w:rsidRDefault="009F288B">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“Analyzing Alternative Intraday Credit Policies in Real-Time Gross Settlement Systems,” with Jeff </w:t>
      </w:r>
      <w:proofErr w:type="spellStart"/>
      <w:r w:rsidRPr="00592C90">
        <w:rPr>
          <w:rFonts w:asciiTheme="majorHAnsi" w:hAnsiTheme="majorHAnsi"/>
          <w:sz w:val="24"/>
          <w:szCs w:val="24"/>
        </w:rPr>
        <w:t>Stehm</w:t>
      </w:r>
      <w:proofErr w:type="spellEnd"/>
      <w:r w:rsidRPr="00592C90">
        <w:rPr>
          <w:rFonts w:asciiTheme="majorHAnsi" w:hAnsiTheme="majorHAnsi"/>
          <w:sz w:val="24"/>
          <w:szCs w:val="24"/>
        </w:rPr>
        <w:t xml:space="preserve">, </w:t>
      </w:r>
      <w:r w:rsidRPr="00592C90">
        <w:rPr>
          <w:rFonts w:asciiTheme="majorHAnsi" w:hAnsiTheme="majorHAnsi"/>
          <w:i/>
          <w:sz w:val="24"/>
          <w:szCs w:val="24"/>
        </w:rPr>
        <w:t>Journal of Money, Credit, and Banking</w:t>
      </w:r>
      <w:r w:rsidRPr="00592C90">
        <w:rPr>
          <w:rFonts w:asciiTheme="majorHAnsi" w:hAnsiTheme="majorHAnsi"/>
          <w:sz w:val="24"/>
          <w:szCs w:val="24"/>
        </w:rPr>
        <w:t>, 1998, vol. 30 no. 4, pp. 832-848.</w:t>
      </w:r>
    </w:p>
    <w:p w14:paraId="62E72EB4" w14:textId="31999CED" w:rsidR="00CD0CDA" w:rsidRPr="00592C90" w:rsidRDefault="00A365F6" w:rsidP="00CD0CDA">
      <w:pPr>
        <w:pStyle w:val="Heading5"/>
        <w:spacing w:before="300" w:after="120"/>
        <w:rPr>
          <w:rFonts w:asciiTheme="majorHAnsi" w:hAnsiTheme="majorHAnsi"/>
          <w:szCs w:val="24"/>
        </w:rPr>
      </w:pPr>
      <w:r>
        <w:rPr>
          <w:rFonts w:asciiTheme="majorHAnsi" w:hAnsiTheme="majorHAnsi"/>
          <w:szCs w:val="24"/>
        </w:rPr>
        <w:lastRenderedPageBreak/>
        <w:t>OTHER</w:t>
      </w:r>
      <w:r w:rsidR="00CD0CDA" w:rsidRPr="00592C90">
        <w:rPr>
          <w:rFonts w:asciiTheme="majorHAnsi" w:hAnsiTheme="majorHAnsi"/>
          <w:szCs w:val="24"/>
        </w:rPr>
        <w:t xml:space="preserve"> PUBLICATIONS</w:t>
      </w:r>
    </w:p>
    <w:p w14:paraId="5EB16469" w14:textId="77777777" w:rsidR="00A365F6" w:rsidRDefault="00A365F6" w:rsidP="00CD0CDA">
      <w:pPr>
        <w:pStyle w:val="BodyTextIndent"/>
        <w:spacing w:after="80"/>
        <w:ind w:left="851" w:hanging="284"/>
        <w:rPr>
          <w:rFonts w:asciiTheme="majorHAnsi" w:hAnsiTheme="majorHAnsi"/>
          <w:sz w:val="24"/>
          <w:szCs w:val="24"/>
        </w:rPr>
      </w:pPr>
      <w:r>
        <w:rPr>
          <w:rFonts w:asciiTheme="majorHAnsi" w:hAnsiTheme="majorHAnsi"/>
          <w:sz w:val="24"/>
          <w:szCs w:val="24"/>
        </w:rPr>
        <w:t xml:space="preserve">“Comment on: `The mechanics of a graceful exit’,” </w:t>
      </w:r>
      <w:r>
        <w:rPr>
          <w:rFonts w:asciiTheme="majorHAnsi" w:hAnsiTheme="majorHAnsi"/>
          <w:i/>
          <w:sz w:val="24"/>
          <w:szCs w:val="24"/>
        </w:rPr>
        <w:t>Journal of Monetary Economics</w:t>
      </w:r>
      <w:r>
        <w:rPr>
          <w:rFonts w:asciiTheme="majorHAnsi" w:hAnsiTheme="majorHAnsi"/>
          <w:sz w:val="24"/>
          <w:szCs w:val="24"/>
        </w:rPr>
        <w:t>, vol. 58 no.5, July 2011, pp. 432-435.</w:t>
      </w:r>
    </w:p>
    <w:p w14:paraId="373596CC" w14:textId="2CA2866C" w:rsidR="00846477" w:rsidRPr="00592C90" w:rsidRDefault="00846477" w:rsidP="00846477">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“Banks Monitoring Banks: Evidence from the Overnight Federal Funds Market,” </w:t>
      </w:r>
      <w:r>
        <w:rPr>
          <w:rFonts w:asciiTheme="majorHAnsi" w:hAnsiTheme="majorHAnsi"/>
          <w:sz w:val="24"/>
          <w:szCs w:val="24"/>
        </w:rPr>
        <w:t xml:space="preserve">reprinted in Allen, Franklin, Elena </w:t>
      </w:r>
      <w:proofErr w:type="spellStart"/>
      <w:r>
        <w:rPr>
          <w:rFonts w:asciiTheme="majorHAnsi" w:hAnsiTheme="majorHAnsi"/>
          <w:sz w:val="24"/>
          <w:szCs w:val="24"/>
        </w:rPr>
        <w:t>Carletti</w:t>
      </w:r>
      <w:proofErr w:type="spellEnd"/>
      <w:r>
        <w:rPr>
          <w:rFonts w:asciiTheme="majorHAnsi" w:hAnsiTheme="majorHAnsi"/>
          <w:sz w:val="24"/>
          <w:szCs w:val="24"/>
        </w:rPr>
        <w:t xml:space="preserve">, Jan Pieter </w:t>
      </w:r>
      <w:proofErr w:type="spellStart"/>
      <w:r>
        <w:rPr>
          <w:rFonts w:asciiTheme="majorHAnsi" w:hAnsiTheme="majorHAnsi"/>
          <w:sz w:val="24"/>
          <w:szCs w:val="24"/>
        </w:rPr>
        <w:t>Krahnen</w:t>
      </w:r>
      <w:proofErr w:type="spellEnd"/>
      <w:r>
        <w:rPr>
          <w:rFonts w:asciiTheme="majorHAnsi" w:hAnsiTheme="majorHAnsi"/>
          <w:sz w:val="24"/>
          <w:szCs w:val="24"/>
        </w:rPr>
        <w:t>, and Marcel Tyrell, “</w:t>
      </w:r>
      <w:r>
        <w:rPr>
          <w:rFonts w:asciiTheme="majorHAnsi" w:hAnsiTheme="majorHAnsi"/>
          <w:i/>
          <w:sz w:val="24"/>
          <w:szCs w:val="24"/>
        </w:rPr>
        <w:t>Liquidity and Crisis</w:t>
      </w:r>
      <w:r>
        <w:rPr>
          <w:rFonts w:asciiTheme="majorHAnsi" w:hAnsiTheme="majorHAnsi"/>
          <w:sz w:val="24"/>
          <w:szCs w:val="24"/>
        </w:rPr>
        <w:t>,” Oxford University Press, 2011</w:t>
      </w:r>
      <w:r w:rsidRPr="00592C90">
        <w:rPr>
          <w:rFonts w:asciiTheme="majorHAnsi" w:hAnsiTheme="majorHAnsi"/>
          <w:sz w:val="24"/>
          <w:szCs w:val="24"/>
        </w:rPr>
        <w:t>.</w:t>
      </w:r>
    </w:p>
    <w:p w14:paraId="59F7931E" w14:textId="1DE6EDFF" w:rsidR="00ED0F14" w:rsidRPr="00592C90" w:rsidRDefault="00846477" w:rsidP="00846477">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 </w:t>
      </w:r>
      <w:proofErr w:type="gramStart"/>
      <w:r w:rsidR="00ED0F14" w:rsidRPr="00592C90">
        <w:rPr>
          <w:rFonts w:asciiTheme="majorHAnsi" w:hAnsiTheme="majorHAnsi"/>
          <w:sz w:val="24"/>
          <w:szCs w:val="24"/>
        </w:rPr>
        <w:t xml:space="preserve">“Earnings announcements, private information, and liquidity,” Federal Reserve Bank of Chicago </w:t>
      </w:r>
      <w:r w:rsidR="00ED0F14" w:rsidRPr="00592C90">
        <w:rPr>
          <w:rFonts w:asciiTheme="majorHAnsi" w:hAnsiTheme="majorHAnsi"/>
          <w:i/>
          <w:sz w:val="24"/>
          <w:szCs w:val="24"/>
        </w:rPr>
        <w:t>Economic Perspectives</w:t>
      </w:r>
      <w:r w:rsidR="00ED0F14" w:rsidRPr="00592C90">
        <w:rPr>
          <w:rFonts w:asciiTheme="majorHAnsi" w:hAnsiTheme="majorHAnsi"/>
          <w:sz w:val="24"/>
          <w:szCs w:val="24"/>
        </w:rPr>
        <w:t>, 1</w:t>
      </w:r>
      <w:r w:rsidR="00ED0F14" w:rsidRPr="00592C90">
        <w:rPr>
          <w:rFonts w:asciiTheme="majorHAnsi" w:hAnsiTheme="majorHAnsi"/>
          <w:sz w:val="24"/>
          <w:szCs w:val="24"/>
          <w:vertAlign w:val="superscript"/>
        </w:rPr>
        <w:t>st</w:t>
      </w:r>
      <w:r w:rsidR="00ED0F14" w:rsidRPr="00592C90">
        <w:rPr>
          <w:rFonts w:asciiTheme="majorHAnsi" w:hAnsiTheme="majorHAnsi"/>
          <w:sz w:val="24"/>
          <w:szCs w:val="24"/>
        </w:rPr>
        <w:t xml:space="preserve"> Quarter 2006, pp. 39-54.</w:t>
      </w:r>
      <w:proofErr w:type="gramEnd"/>
    </w:p>
    <w:p w14:paraId="09D3DD0A" w14:textId="77777777" w:rsidR="00CD0CDA" w:rsidRPr="00592C90" w:rsidRDefault="00CD0CDA" w:rsidP="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w:t>
      </w:r>
      <w:hyperlink r:id="rId8" w:history="1">
        <w:r w:rsidRPr="00592C90">
          <w:rPr>
            <w:rStyle w:val="Hyperlink"/>
            <w:rFonts w:asciiTheme="majorHAnsi" w:hAnsiTheme="majorHAnsi"/>
            <w:color w:val="auto"/>
            <w:sz w:val="24"/>
            <w:szCs w:val="24"/>
            <w:u w:val="none"/>
          </w:rPr>
          <w:t>Discount window borrowing: Understanding recent experience</w:t>
        </w:r>
      </w:hyperlink>
      <w:r w:rsidRPr="00592C90">
        <w:rPr>
          <w:rFonts w:asciiTheme="majorHAnsi" w:hAnsiTheme="majorHAnsi"/>
          <w:sz w:val="24"/>
          <w:szCs w:val="24"/>
        </w:rPr>
        <w:t xml:space="preserve">”, </w:t>
      </w:r>
      <w:r w:rsidRPr="00592C90">
        <w:rPr>
          <w:rFonts w:asciiTheme="majorHAnsi" w:hAnsiTheme="majorHAnsi"/>
          <w:i/>
          <w:sz w:val="24"/>
          <w:szCs w:val="24"/>
        </w:rPr>
        <w:t xml:space="preserve">Chicago Fed Letter 212, </w:t>
      </w:r>
      <w:r w:rsidRPr="00592C90">
        <w:rPr>
          <w:rFonts w:asciiTheme="majorHAnsi" w:hAnsiTheme="majorHAnsi"/>
          <w:sz w:val="24"/>
          <w:szCs w:val="24"/>
        </w:rPr>
        <w:t>March 2005.</w:t>
      </w:r>
    </w:p>
    <w:p w14:paraId="1FD374C5" w14:textId="77777777" w:rsidR="00CD0CDA" w:rsidRPr="00592C90" w:rsidRDefault="00CD0CDA" w:rsidP="00CD0CDA">
      <w:pPr>
        <w:pStyle w:val="BodyTextIndent"/>
        <w:spacing w:after="80"/>
        <w:ind w:left="851" w:hanging="284"/>
        <w:rPr>
          <w:rFonts w:asciiTheme="majorHAnsi" w:hAnsiTheme="majorHAnsi"/>
          <w:sz w:val="24"/>
          <w:szCs w:val="24"/>
        </w:rPr>
      </w:pPr>
      <w:proofErr w:type="gramStart"/>
      <w:r w:rsidRPr="00592C90">
        <w:rPr>
          <w:rFonts w:asciiTheme="majorHAnsi" w:hAnsiTheme="majorHAnsi"/>
          <w:sz w:val="24"/>
          <w:szCs w:val="24"/>
        </w:rPr>
        <w:t>“Decimalization and market liquidity,” Federal Reserve Bank of Chicago</w:t>
      </w:r>
      <w:r w:rsidRPr="00592C90">
        <w:rPr>
          <w:rFonts w:asciiTheme="majorHAnsi" w:hAnsiTheme="majorHAnsi"/>
          <w:i/>
          <w:sz w:val="24"/>
          <w:szCs w:val="24"/>
        </w:rPr>
        <w:t xml:space="preserve"> Economic Perspectives</w:t>
      </w:r>
      <w:r w:rsidRPr="00592C90">
        <w:rPr>
          <w:rFonts w:asciiTheme="majorHAnsi" w:hAnsiTheme="majorHAnsi"/>
          <w:sz w:val="24"/>
          <w:szCs w:val="24"/>
        </w:rPr>
        <w:t>, 4</w:t>
      </w:r>
      <w:r w:rsidRPr="00592C90">
        <w:rPr>
          <w:rFonts w:asciiTheme="majorHAnsi" w:hAnsiTheme="majorHAnsi"/>
          <w:sz w:val="24"/>
          <w:szCs w:val="24"/>
          <w:vertAlign w:val="superscript"/>
        </w:rPr>
        <w:t>th</w:t>
      </w:r>
      <w:r w:rsidRPr="00592C90">
        <w:rPr>
          <w:rFonts w:asciiTheme="majorHAnsi" w:hAnsiTheme="majorHAnsi"/>
          <w:sz w:val="24"/>
          <w:szCs w:val="24"/>
        </w:rPr>
        <w:t xml:space="preserve"> Quarter 2003, pp. 2-12.</w:t>
      </w:r>
      <w:proofErr w:type="gramEnd"/>
    </w:p>
    <w:p w14:paraId="0E335C85" w14:textId="77777777" w:rsidR="00CD0CDA" w:rsidRPr="00592C90" w:rsidRDefault="00CD0CDA" w:rsidP="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“What’s Behind the Liquidity Spread: US Treasury Markets in </w:t>
      </w:r>
      <w:proofErr w:type="gramStart"/>
      <w:r w:rsidRPr="00592C90">
        <w:rPr>
          <w:rFonts w:asciiTheme="majorHAnsi" w:hAnsiTheme="majorHAnsi"/>
          <w:sz w:val="24"/>
          <w:szCs w:val="24"/>
        </w:rPr>
        <w:t>Autumn</w:t>
      </w:r>
      <w:proofErr w:type="gramEnd"/>
      <w:r w:rsidRPr="00592C90">
        <w:rPr>
          <w:rFonts w:asciiTheme="majorHAnsi" w:hAnsiTheme="majorHAnsi"/>
          <w:sz w:val="24"/>
          <w:szCs w:val="24"/>
        </w:rPr>
        <w:t xml:space="preserve"> 1998,” </w:t>
      </w:r>
      <w:r w:rsidRPr="00592C90">
        <w:rPr>
          <w:rFonts w:asciiTheme="majorHAnsi" w:hAnsiTheme="majorHAnsi"/>
          <w:i/>
          <w:sz w:val="24"/>
          <w:szCs w:val="24"/>
        </w:rPr>
        <w:t>BIS Quarterly Review</w:t>
      </w:r>
      <w:r w:rsidRPr="00592C90">
        <w:rPr>
          <w:rFonts w:asciiTheme="majorHAnsi" w:hAnsiTheme="majorHAnsi"/>
          <w:sz w:val="24"/>
          <w:szCs w:val="24"/>
        </w:rPr>
        <w:t>, June 2002, pp. 51-58.</w:t>
      </w:r>
    </w:p>
    <w:p w14:paraId="63712192" w14:textId="77777777" w:rsidR="00CD0CDA" w:rsidRPr="00592C90" w:rsidRDefault="00CD0CDA" w:rsidP="00CD0CDA">
      <w:pPr>
        <w:pStyle w:val="BodyTextIndent"/>
        <w:spacing w:after="80"/>
        <w:ind w:left="851" w:hanging="284"/>
        <w:rPr>
          <w:rFonts w:asciiTheme="majorHAnsi" w:hAnsiTheme="majorHAnsi"/>
          <w:sz w:val="24"/>
          <w:szCs w:val="24"/>
        </w:rPr>
      </w:pPr>
      <w:bookmarkStart w:id="1" w:name="pgtop"/>
      <w:r w:rsidRPr="00592C90">
        <w:rPr>
          <w:rFonts w:asciiTheme="majorHAnsi" w:hAnsiTheme="majorHAnsi"/>
          <w:sz w:val="24"/>
          <w:szCs w:val="24"/>
        </w:rPr>
        <w:t>“</w:t>
      </w:r>
      <w:hyperlink r:id="rId9" w:history="1">
        <w:proofErr w:type="spellStart"/>
        <w:r w:rsidRPr="00592C90">
          <w:rPr>
            <w:rFonts w:asciiTheme="majorHAnsi" w:hAnsiTheme="majorHAnsi"/>
            <w:sz w:val="24"/>
            <w:szCs w:val="24"/>
          </w:rPr>
          <w:t>Procyclicality</w:t>
        </w:r>
        <w:proofErr w:type="spellEnd"/>
        <w:r w:rsidRPr="00592C90">
          <w:rPr>
            <w:rFonts w:asciiTheme="majorHAnsi" w:hAnsiTheme="majorHAnsi"/>
            <w:sz w:val="24"/>
            <w:szCs w:val="24"/>
          </w:rPr>
          <w:t xml:space="preserve"> of the financial system and financial stability: issues and policy options</w:t>
        </w:r>
      </w:hyperlink>
      <w:r w:rsidRPr="00592C90">
        <w:rPr>
          <w:rFonts w:asciiTheme="majorHAnsi" w:hAnsiTheme="majorHAnsi"/>
          <w:sz w:val="24"/>
          <w:szCs w:val="24"/>
        </w:rPr>
        <w:t xml:space="preserve">,” </w:t>
      </w:r>
      <w:r w:rsidRPr="00592C90">
        <w:rPr>
          <w:rFonts w:asciiTheme="majorHAnsi" w:hAnsiTheme="majorHAnsi"/>
          <w:i/>
          <w:sz w:val="24"/>
          <w:szCs w:val="24"/>
        </w:rPr>
        <w:t>BIS Papers No. 1</w:t>
      </w:r>
      <w:r w:rsidRPr="00592C90">
        <w:rPr>
          <w:rFonts w:asciiTheme="majorHAnsi" w:hAnsiTheme="majorHAnsi"/>
          <w:sz w:val="24"/>
          <w:szCs w:val="24"/>
        </w:rPr>
        <w:t xml:space="preserve">, with Claudio </w:t>
      </w:r>
      <w:proofErr w:type="spellStart"/>
      <w:r w:rsidRPr="00592C90">
        <w:rPr>
          <w:rFonts w:asciiTheme="majorHAnsi" w:hAnsiTheme="majorHAnsi"/>
          <w:sz w:val="24"/>
          <w:szCs w:val="24"/>
        </w:rPr>
        <w:t>Borio</w:t>
      </w:r>
      <w:proofErr w:type="spellEnd"/>
      <w:r w:rsidRPr="00592C90">
        <w:rPr>
          <w:rFonts w:asciiTheme="majorHAnsi" w:hAnsiTheme="majorHAnsi"/>
          <w:sz w:val="24"/>
          <w:szCs w:val="24"/>
        </w:rPr>
        <w:t xml:space="preserve"> and Philip Lowe, 2001.</w:t>
      </w:r>
    </w:p>
    <w:bookmarkEnd w:id="1"/>
    <w:p w14:paraId="0621D448" w14:textId="77777777" w:rsidR="00CD0CDA" w:rsidRDefault="00CD0CDA" w:rsidP="00CD0CDA">
      <w:pPr>
        <w:pStyle w:val="BodyTextIndent"/>
        <w:spacing w:after="80"/>
        <w:ind w:left="851" w:hanging="284"/>
        <w:rPr>
          <w:rFonts w:asciiTheme="majorHAnsi" w:hAnsiTheme="majorHAnsi"/>
          <w:sz w:val="24"/>
          <w:szCs w:val="24"/>
        </w:rPr>
      </w:pPr>
      <w:r w:rsidRPr="00592C90">
        <w:rPr>
          <w:rFonts w:asciiTheme="majorHAnsi" w:hAnsiTheme="majorHAnsi"/>
          <w:sz w:val="24"/>
          <w:szCs w:val="24"/>
        </w:rPr>
        <w:t xml:space="preserve">“Do Macro Announcements Still Drive the US Bond Market,” </w:t>
      </w:r>
      <w:r w:rsidRPr="00592C90">
        <w:rPr>
          <w:rFonts w:asciiTheme="majorHAnsi" w:hAnsiTheme="majorHAnsi"/>
          <w:i/>
          <w:sz w:val="24"/>
          <w:szCs w:val="24"/>
        </w:rPr>
        <w:t>BIS Quarterly Review</w:t>
      </w:r>
      <w:r w:rsidRPr="00592C90">
        <w:rPr>
          <w:rFonts w:asciiTheme="majorHAnsi" w:hAnsiTheme="majorHAnsi"/>
          <w:sz w:val="24"/>
          <w:szCs w:val="24"/>
        </w:rPr>
        <w:t>, June 2001, pp. 49-57.</w:t>
      </w:r>
    </w:p>
    <w:p w14:paraId="39051C7E" w14:textId="77777777" w:rsidR="00A365F6" w:rsidRPr="00592C90" w:rsidRDefault="00A365F6" w:rsidP="00CD0CDA">
      <w:pPr>
        <w:pStyle w:val="BodyTextIndent"/>
        <w:spacing w:after="80"/>
        <w:ind w:left="851" w:hanging="284"/>
        <w:rPr>
          <w:rFonts w:asciiTheme="majorHAnsi" w:hAnsiTheme="majorHAnsi"/>
          <w:sz w:val="24"/>
          <w:szCs w:val="24"/>
        </w:rPr>
      </w:pPr>
    </w:p>
    <w:sectPr w:rsidR="00A365F6" w:rsidRPr="00592C90" w:rsidSect="009540A1">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65AB1" w14:textId="77777777" w:rsidR="000A5337" w:rsidRDefault="000A5337">
      <w:pPr>
        <w:spacing w:after="0"/>
      </w:pPr>
      <w:r>
        <w:separator/>
      </w:r>
    </w:p>
  </w:endnote>
  <w:endnote w:type="continuationSeparator" w:id="0">
    <w:p w14:paraId="1A39433A" w14:textId="77777777" w:rsidR="000A5337" w:rsidRDefault="000A5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07F2" w14:textId="77777777" w:rsidR="000A5337" w:rsidRDefault="000A5337">
      <w:pPr>
        <w:spacing w:after="0"/>
      </w:pPr>
      <w:r>
        <w:separator/>
      </w:r>
    </w:p>
  </w:footnote>
  <w:footnote w:type="continuationSeparator" w:id="0">
    <w:p w14:paraId="26D592FA" w14:textId="77777777" w:rsidR="000A5337" w:rsidRDefault="000A533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07F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242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F853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48D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CE2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C69F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5C9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29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16E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20D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E39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257E"/>
    <w:rsid w:val="000122CD"/>
    <w:rsid w:val="00023135"/>
    <w:rsid w:val="00092992"/>
    <w:rsid w:val="00097F02"/>
    <w:rsid w:val="000A5337"/>
    <w:rsid w:val="000D2939"/>
    <w:rsid w:val="00114005"/>
    <w:rsid w:val="001C71F2"/>
    <w:rsid w:val="002C22D8"/>
    <w:rsid w:val="002D0E86"/>
    <w:rsid w:val="00362E71"/>
    <w:rsid w:val="003A257E"/>
    <w:rsid w:val="003E7B9A"/>
    <w:rsid w:val="00492992"/>
    <w:rsid w:val="004B1F1A"/>
    <w:rsid w:val="00506B15"/>
    <w:rsid w:val="00592C90"/>
    <w:rsid w:val="005B3790"/>
    <w:rsid w:val="005E2166"/>
    <w:rsid w:val="005F4494"/>
    <w:rsid w:val="006525B0"/>
    <w:rsid w:val="00653E2B"/>
    <w:rsid w:val="0068770A"/>
    <w:rsid w:val="006A3BF6"/>
    <w:rsid w:val="006B0076"/>
    <w:rsid w:val="0073343A"/>
    <w:rsid w:val="00745FE3"/>
    <w:rsid w:val="00796B4F"/>
    <w:rsid w:val="00846477"/>
    <w:rsid w:val="008B0C42"/>
    <w:rsid w:val="00905CDF"/>
    <w:rsid w:val="00913AFC"/>
    <w:rsid w:val="009540A1"/>
    <w:rsid w:val="009F288B"/>
    <w:rsid w:val="00A365F6"/>
    <w:rsid w:val="00AF4C29"/>
    <w:rsid w:val="00B75ABD"/>
    <w:rsid w:val="00B81755"/>
    <w:rsid w:val="00BB0C93"/>
    <w:rsid w:val="00BB1987"/>
    <w:rsid w:val="00C61AE7"/>
    <w:rsid w:val="00CD0CDA"/>
    <w:rsid w:val="00CD4A5D"/>
    <w:rsid w:val="00CE7C8B"/>
    <w:rsid w:val="00D250B2"/>
    <w:rsid w:val="00D50BCC"/>
    <w:rsid w:val="00E313BE"/>
    <w:rsid w:val="00ED0F14"/>
    <w:rsid w:val="00F1053E"/>
    <w:rsid w:val="00F44FF9"/>
    <w:rsid w:val="00F46BA0"/>
    <w:rsid w:val="00F66FA4"/>
    <w:rsid w:val="00F84D50"/>
    <w:rsid w:val="00F90483"/>
    <w:rsid w:val="00FD2937"/>
    <w:rsid w:val="00FE3583"/>
    <w:rsid w:val="00FE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3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1"/>
    <w:pPr>
      <w:spacing w:after="120"/>
      <w:jc w:val="both"/>
    </w:pPr>
    <w:rPr>
      <w:sz w:val="22"/>
    </w:rPr>
  </w:style>
  <w:style w:type="paragraph" w:styleId="Heading1">
    <w:name w:val="heading 1"/>
    <w:aliases w:val="Section title"/>
    <w:basedOn w:val="Normal"/>
    <w:next w:val="Normal"/>
    <w:qFormat/>
    <w:rsid w:val="009540A1"/>
    <w:pPr>
      <w:keepNext/>
      <w:spacing w:before="480"/>
      <w:jc w:val="left"/>
      <w:outlineLvl w:val="0"/>
    </w:pPr>
    <w:rPr>
      <w:b/>
      <w:sz w:val="26"/>
    </w:rPr>
  </w:style>
  <w:style w:type="paragraph" w:styleId="Heading2">
    <w:name w:val="heading 2"/>
    <w:aliases w:val="Paragraph"/>
    <w:basedOn w:val="Normal"/>
    <w:next w:val="Normal"/>
    <w:qFormat/>
    <w:rsid w:val="009540A1"/>
    <w:pPr>
      <w:keepNext/>
      <w:spacing w:before="240"/>
      <w:jc w:val="left"/>
      <w:outlineLvl w:val="1"/>
    </w:pPr>
    <w:rPr>
      <w:b/>
    </w:rPr>
  </w:style>
  <w:style w:type="paragraph" w:styleId="Heading3">
    <w:name w:val="heading 3"/>
    <w:aliases w:val="Sub-paragraph"/>
    <w:basedOn w:val="Normal"/>
    <w:next w:val="Normal"/>
    <w:qFormat/>
    <w:rsid w:val="009540A1"/>
    <w:pPr>
      <w:keepNext/>
      <w:spacing w:before="120"/>
      <w:jc w:val="left"/>
      <w:outlineLvl w:val="2"/>
    </w:pPr>
    <w:rPr>
      <w:b/>
      <w:i/>
    </w:rPr>
  </w:style>
  <w:style w:type="paragraph" w:styleId="Heading4">
    <w:name w:val="heading 4"/>
    <w:aliases w:val="Sub-sub-paragraph"/>
    <w:basedOn w:val="Heading3"/>
    <w:next w:val="Normal"/>
    <w:qFormat/>
    <w:rsid w:val="009540A1"/>
    <w:pPr>
      <w:outlineLvl w:val="3"/>
    </w:pPr>
    <w:rPr>
      <w:b w:val="0"/>
    </w:rPr>
  </w:style>
  <w:style w:type="paragraph" w:styleId="Heading5">
    <w:name w:val="heading 5"/>
    <w:basedOn w:val="Normal"/>
    <w:next w:val="Normal"/>
    <w:qFormat/>
    <w:rsid w:val="009540A1"/>
    <w:pPr>
      <w:keepNext/>
      <w:spacing w:after="0"/>
      <w:jc w:val="left"/>
      <w:outlineLvl w:val="4"/>
    </w:pPr>
    <w:rPr>
      <w:b/>
      <w:sz w:val="24"/>
    </w:rPr>
  </w:style>
  <w:style w:type="paragraph" w:styleId="Heading6">
    <w:name w:val="heading 6"/>
    <w:basedOn w:val="Normal"/>
    <w:next w:val="Normal"/>
    <w:qFormat/>
    <w:rsid w:val="009540A1"/>
    <w:pPr>
      <w:keepNext/>
      <w:jc w:val="center"/>
      <w:outlineLvl w:val="5"/>
    </w:pPr>
    <w:rPr>
      <w:b/>
      <w:sz w:val="26"/>
    </w:rPr>
  </w:style>
  <w:style w:type="paragraph" w:styleId="Heading7">
    <w:name w:val="heading 7"/>
    <w:basedOn w:val="Normal"/>
    <w:next w:val="Normal"/>
    <w:qFormat/>
    <w:rsid w:val="009540A1"/>
    <w:pPr>
      <w:keepNext/>
      <w:spacing w:after="0"/>
      <w:ind w:left="851"/>
      <w:jc w:val="left"/>
      <w:outlineLvl w:val="6"/>
    </w:pPr>
    <w:rPr>
      <w:i/>
      <w:sz w:val="24"/>
    </w:rPr>
  </w:style>
  <w:style w:type="paragraph" w:styleId="Heading8">
    <w:name w:val="heading 8"/>
    <w:basedOn w:val="Normal"/>
    <w:next w:val="Normal"/>
    <w:qFormat/>
    <w:rsid w:val="009540A1"/>
    <w:pPr>
      <w:keepNext/>
      <w:ind w:left="1134" w:hanging="284"/>
      <w:jc w:val="left"/>
      <w:outlineLvl w:val="7"/>
    </w:pPr>
    <w:rPr>
      <w:i/>
      <w:sz w:val="24"/>
    </w:rPr>
  </w:style>
  <w:style w:type="paragraph" w:styleId="Heading9">
    <w:name w:val="heading 9"/>
    <w:basedOn w:val="Normal"/>
    <w:next w:val="Normal"/>
    <w:qFormat/>
    <w:rsid w:val="009540A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0A1"/>
    <w:pPr>
      <w:tabs>
        <w:tab w:val="center" w:pos="4536"/>
        <w:tab w:val="right" w:pos="9072"/>
      </w:tabs>
    </w:pPr>
    <w:rPr>
      <w:lang w:val="en-GB"/>
    </w:rPr>
  </w:style>
  <w:style w:type="paragraph" w:styleId="Header">
    <w:name w:val="header"/>
    <w:basedOn w:val="Normal"/>
    <w:rsid w:val="009540A1"/>
    <w:pPr>
      <w:tabs>
        <w:tab w:val="center" w:pos="4536"/>
        <w:tab w:val="right" w:pos="9072"/>
      </w:tabs>
    </w:pPr>
    <w:rPr>
      <w:lang w:val="en-GB"/>
    </w:rPr>
  </w:style>
  <w:style w:type="paragraph" w:styleId="BodyTextIndent">
    <w:name w:val="Body Text Indent"/>
    <w:basedOn w:val="Normal"/>
    <w:rsid w:val="009540A1"/>
    <w:pPr>
      <w:spacing w:after="0"/>
      <w:ind w:left="567"/>
      <w:jc w:val="left"/>
    </w:pPr>
  </w:style>
  <w:style w:type="paragraph" w:styleId="BodyTextIndent2">
    <w:name w:val="Body Text Indent 2"/>
    <w:basedOn w:val="Normal"/>
    <w:rsid w:val="009540A1"/>
    <w:pPr>
      <w:ind w:left="567"/>
    </w:pPr>
    <w:rPr>
      <w:sz w:val="24"/>
    </w:rPr>
  </w:style>
  <w:style w:type="paragraph" w:styleId="Title">
    <w:name w:val="Title"/>
    <w:basedOn w:val="Normal"/>
    <w:qFormat/>
    <w:rsid w:val="009540A1"/>
    <w:pPr>
      <w:spacing w:after="0"/>
      <w:jc w:val="center"/>
    </w:pPr>
    <w:rPr>
      <w:b/>
      <w:sz w:val="28"/>
    </w:rPr>
  </w:style>
  <w:style w:type="paragraph" w:styleId="BlockText">
    <w:name w:val="Block Text"/>
    <w:basedOn w:val="Normal"/>
    <w:rsid w:val="009540A1"/>
    <w:pPr>
      <w:ind w:left="1440" w:right="1440"/>
    </w:pPr>
  </w:style>
  <w:style w:type="paragraph" w:styleId="BodyText">
    <w:name w:val="Body Text"/>
    <w:basedOn w:val="Normal"/>
    <w:rsid w:val="009540A1"/>
  </w:style>
  <w:style w:type="paragraph" w:styleId="BodyText2">
    <w:name w:val="Body Text 2"/>
    <w:basedOn w:val="Normal"/>
    <w:rsid w:val="009540A1"/>
    <w:pPr>
      <w:spacing w:line="480" w:lineRule="auto"/>
    </w:pPr>
  </w:style>
  <w:style w:type="paragraph" w:styleId="BodyText3">
    <w:name w:val="Body Text 3"/>
    <w:basedOn w:val="Normal"/>
    <w:rsid w:val="009540A1"/>
    <w:rPr>
      <w:sz w:val="16"/>
      <w:szCs w:val="16"/>
    </w:rPr>
  </w:style>
  <w:style w:type="paragraph" w:styleId="BodyTextFirstIndent">
    <w:name w:val="Body Text First Indent"/>
    <w:basedOn w:val="BodyText"/>
    <w:rsid w:val="009540A1"/>
    <w:pPr>
      <w:ind w:firstLine="210"/>
    </w:pPr>
  </w:style>
  <w:style w:type="paragraph" w:styleId="BodyTextFirstIndent2">
    <w:name w:val="Body Text First Indent 2"/>
    <w:basedOn w:val="BodyTextIndent"/>
    <w:rsid w:val="009540A1"/>
    <w:pPr>
      <w:spacing w:after="120"/>
      <w:ind w:left="283" w:firstLine="210"/>
      <w:jc w:val="both"/>
    </w:pPr>
  </w:style>
  <w:style w:type="paragraph" w:styleId="BodyTextIndent3">
    <w:name w:val="Body Text Indent 3"/>
    <w:basedOn w:val="Normal"/>
    <w:rsid w:val="009540A1"/>
    <w:pPr>
      <w:ind w:left="283"/>
    </w:pPr>
    <w:rPr>
      <w:sz w:val="16"/>
      <w:szCs w:val="16"/>
    </w:rPr>
  </w:style>
  <w:style w:type="paragraph" w:styleId="Caption">
    <w:name w:val="caption"/>
    <w:basedOn w:val="Normal"/>
    <w:next w:val="Normal"/>
    <w:qFormat/>
    <w:rsid w:val="009540A1"/>
    <w:pPr>
      <w:spacing w:before="120"/>
    </w:pPr>
    <w:rPr>
      <w:b/>
      <w:bCs/>
      <w:sz w:val="20"/>
    </w:rPr>
  </w:style>
  <w:style w:type="paragraph" w:styleId="Closing">
    <w:name w:val="Closing"/>
    <w:basedOn w:val="Normal"/>
    <w:rsid w:val="009540A1"/>
    <w:pPr>
      <w:ind w:left="4252"/>
    </w:pPr>
  </w:style>
  <w:style w:type="paragraph" w:styleId="CommentText">
    <w:name w:val="annotation text"/>
    <w:basedOn w:val="Normal"/>
    <w:semiHidden/>
    <w:rsid w:val="009540A1"/>
    <w:rPr>
      <w:sz w:val="20"/>
    </w:rPr>
  </w:style>
  <w:style w:type="paragraph" w:styleId="Date">
    <w:name w:val="Date"/>
    <w:basedOn w:val="Normal"/>
    <w:next w:val="Normal"/>
    <w:rsid w:val="009540A1"/>
  </w:style>
  <w:style w:type="paragraph" w:styleId="DocumentMap">
    <w:name w:val="Document Map"/>
    <w:basedOn w:val="Normal"/>
    <w:semiHidden/>
    <w:rsid w:val="009540A1"/>
    <w:pPr>
      <w:shd w:val="clear" w:color="auto" w:fill="000080"/>
    </w:pPr>
    <w:rPr>
      <w:rFonts w:ascii="Tahoma" w:hAnsi="Tahoma" w:cs="Tahoma"/>
    </w:rPr>
  </w:style>
  <w:style w:type="paragraph" w:styleId="E-mailSignature">
    <w:name w:val="E-mail Signature"/>
    <w:basedOn w:val="Normal"/>
    <w:rsid w:val="009540A1"/>
  </w:style>
  <w:style w:type="paragraph" w:styleId="EndnoteText">
    <w:name w:val="endnote text"/>
    <w:basedOn w:val="Normal"/>
    <w:semiHidden/>
    <w:rsid w:val="009540A1"/>
    <w:rPr>
      <w:sz w:val="20"/>
    </w:rPr>
  </w:style>
  <w:style w:type="paragraph" w:styleId="EnvelopeAddress">
    <w:name w:val="envelope address"/>
    <w:basedOn w:val="Normal"/>
    <w:rsid w:val="009540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540A1"/>
    <w:rPr>
      <w:rFonts w:ascii="Arial" w:hAnsi="Arial" w:cs="Arial"/>
      <w:sz w:val="20"/>
    </w:rPr>
  </w:style>
  <w:style w:type="paragraph" w:styleId="FootnoteText">
    <w:name w:val="footnote text"/>
    <w:basedOn w:val="Normal"/>
    <w:semiHidden/>
    <w:rsid w:val="009540A1"/>
    <w:rPr>
      <w:sz w:val="20"/>
    </w:rPr>
  </w:style>
  <w:style w:type="paragraph" w:styleId="HTMLAddress">
    <w:name w:val="HTML Address"/>
    <w:basedOn w:val="Normal"/>
    <w:rsid w:val="009540A1"/>
    <w:rPr>
      <w:i/>
      <w:iCs/>
    </w:rPr>
  </w:style>
  <w:style w:type="paragraph" w:styleId="HTMLPreformatted">
    <w:name w:val="HTML Preformatted"/>
    <w:basedOn w:val="Normal"/>
    <w:rsid w:val="009540A1"/>
    <w:rPr>
      <w:rFonts w:ascii="Courier New" w:hAnsi="Courier New" w:cs="Courier New"/>
      <w:sz w:val="20"/>
    </w:rPr>
  </w:style>
  <w:style w:type="paragraph" w:styleId="Index1">
    <w:name w:val="index 1"/>
    <w:basedOn w:val="Normal"/>
    <w:next w:val="Normal"/>
    <w:autoRedefine/>
    <w:semiHidden/>
    <w:rsid w:val="009540A1"/>
    <w:pPr>
      <w:ind w:left="220" w:hanging="220"/>
    </w:pPr>
  </w:style>
  <w:style w:type="paragraph" w:styleId="Index2">
    <w:name w:val="index 2"/>
    <w:basedOn w:val="Normal"/>
    <w:next w:val="Normal"/>
    <w:autoRedefine/>
    <w:semiHidden/>
    <w:rsid w:val="009540A1"/>
    <w:pPr>
      <w:ind w:left="440" w:hanging="220"/>
    </w:pPr>
  </w:style>
  <w:style w:type="paragraph" w:styleId="Index3">
    <w:name w:val="index 3"/>
    <w:basedOn w:val="Normal"/>
    <w:next w:val="Normal"/>
    <w:autoRedefine/>
    <w:semiHidden/>
    <w:rsid w:val="009540A1"/>
    <w:pPr>
      <w:ind w:left="660" w:hanging="220"/>
    </w:pPr>
  </w:style>
  <w:style w:type="paragraph" w:styleId="Index4">
    <w:name w:val="index 4"/>
    <w:basedOn w:val="Normal"/>
    <w:next w:val="Normal"/>
    <w:autoRedefine/>
    <w:semiHidden/>
    <w:rsid w:val="009540A1"/>
    <w:pPr>
      <w:ind w:left="880" w:hanging="220"/>
    </w:pPr>
  </w:style>
  <w:style w:type="paragraph" w:styleId="Index5">
    <w:name w:val="index 5"/>
    <w:basedOn w:val="Normal"/>
    <w:next w:val="Normal"/>
    <w:autoRedefine/>
    <w:semiHidden/>
    <w:rsid w:val="009540A1"/>
    <w:pPr>
      <w:ind w:left="1100" w:hanging="220"/>
    </w:pPr>
  </w:style>
  <w:style w:type="paragraph" w:styleId="Index6">
    <w:name w:val="index 6"/>
    <w:basedOn w:val="Normal"/>
    <w:next w:val="Normal"/>
    <w:autoRedefine/>
    <w:semiHidden/>
    <w:rsid w:val="009540A1"/>
    <w:pPr>
      <w:ind w:left="1320" w:hanging="220"/>
    </w:pPr>
  </w:style>
  <w:style w:type="paragraph" w:styleId="Index7">
    <w:name w:val="index 7"/>
    <w:basedOn w:val="Normal"/>
    <w:next w:val="Normal"/>
    <w:autoRedefine/>
    <w:semiHidden/>
    <w:rsid w:val="009540A1"/>
    <w:pPr>
      <w:ind w:left="1540" w:hanging="220"/>
    </w:pPr>
  </w:style>
  <w:style w:type="paragraph" w:styleId="Index8">
    <w:name w:val="index 8"/>
    <w:basedOn w:val="Normal"/>
    <w:next w:val="Normal"/>
    <w:autoRedefine/>
    <w:semiHidden/>
    <w:rsid w:val="009540A1"/>
    <w:pPr>
      <w:ind w:left="1760" w:hanging="220"/>
    </w:pPr>
  </w:style>
  <w:style w:type="paragraph" w:styleId="Index9">
    <w:name w:val="index 9"/>
    <w:basedOn w:val="Normal"/>
    <w:next w:val="Normal"/>
    <w:autoRedefine/>
    <w:semiHidden/>
    <w:rsid w:val="009540A1"/>
    <w:pPr>
      <w:ind w:left="1980" w:hanging="220"/>
    </w:pPr>
  </w:style>
  <w:style w:type="paragraph" w:styleId="IndexHeading">
    <w:name w:val="index heading"/>
    <w:basedOn w:val="Normal"/>
    <w:next w:val="Index1"/>
    <w:semiHidden/>
    <w:rsid w:val="009540A1"/>
    <w:rPr>
      <w:rFonts w:ascii="Arial" w:hAnsi="Arial" w:cs="Arial"/>
      <w:b/>
      <w:bCs/>
    </w:rPr>
  </w:style>
  <w:style w:type="paragraph" w:styleId="List">
    <w:name w:val="List"/>
    <w:basedOn w:val="Normal"/>
    <w:rsid w:val="009540A1"/>
    <w:pPr>
      <w:ind w:left="283" w:hanging="283"/>
    </w:pPr>
  </w:style>
  <w:style w:type="paragraph" w:styleId="List2">
    <w:name w:val="List 2"/>
    <w:basedOn w:val="Normal"/>
    <w:rsid w:val="009540A1"/>
    <w:pPr>
      <w:ind w:left="566" w:hanging="283"/>
    </w:pPr>
  </w:style>
  <w:style w:type="paragraph" w:styleId="List3">
    <w:name w:val="List 3"/>
    <w:basedOn w:val="Normal"/>
    <w:rsid w:val="009540A1"/>
    <w:pPr>
      <w:ind w:left="849" w:hanging="283"/>
    </w:pPr>
  </w:style>
  <w:style w:type="paragraph" w:styleId="List4">
    <w:name w:val="List 4"/>
    <w:basedOn w:val="Normal"/>
    <w:rsid w:val="009540A1"/>
    <w:pPr>
      <w:ind w:left="1132" w:hanging="283"/>
    </w:pPr>
  </w:style>
  <w:style w:type="paragraph" w:styleId="List5">
    <w:name w:val="List 5"/>
    <w:basedOn w:val="Normal"/>
    <w:rsid w:val="009540A1"/>
    <w:pPr>
      <w:ind w:left="1415" w:hanging="283"/>
    </w:pPr>
  </w:style>
  <w:style w:type="paragraph" w:styleId="ListBullet">
    <w:name w:val="List Bullet"/>
    <w:basedOn w:val="Normal"/>
    <w:autoRedefine/>
    <w:rsid w:val="009540A1"/>
    <w:pPr>
      <w:numPr>
        <w:numId w:val="2"/>
      </w:numPr>
    </w:pPr>
  </w:style>
  <w:style w:type="paragraph" w:styleId="ListBullet2">
    <w:name w:val="List Bullet 2"/>
    <w:basedOn w:val="Normal"/>
    <w:autoRedefine/>
    <w:rsid w:val="009540A1"/>
    <w:pPr>
      <w:numPr>
        <w:numId w:val="3"/>
      </w:numPr>
    </w:pPr>
  </w:style>
  <w:style w:type="paragraph" w:styleId="ListBullet3">
    <w:name w:val="List Bullet 3"/>
    <w:basedOn w:val="Normal"/>
    <w:autoRedefine/>
    <w:rsid w:val="009540A1"/>
    <w:pPr>
      <w:numPr>
        <w:numId w:val="4"/>
      </w:numPr>
    </w:pPr>
  </w:style>
  <w:style w:type="paragraph" w:styleId="ListBullet4">
    <w:name w:val="List Bullet 4"/>
    <w:basedOn w:val="Normal"/>
    <w:autoRedefine/>
    <w:rsid w:val="009540A1"/>
    <w:pPr>
      <w:numPr>
        <w:numId w:val="5"/>
      </w:numPr>
    </w:pPr>
  </w:style>
  <w:style w:type="paragraph" w:styleId="ListBullet5">
    <w:name w:val="List Bullet 5"/>
    <w:basedOn w:val="Normal"/>
    <w:autoRedefine/>
    <w:rsid w:val="009540A1"/>
    <w:pPr>
      <w:numPr>
        <w:numId w:val="6"/>
      </w:numPr>
    </w:pPr>
  </w:style>
  <w:style w:type="paragraph" w:styleId="ListContinue">
    <w:name w:val="List Continue"/>
    <w:basedOn w:val="Normal"/>
    <w:rsid w:val="009540A1"/>
    <w:pPr>
      <w:ind w:left="283"/>
    </w:pPr>
  </w:style>
  <w:style w:type="paragraph" w:styleId="ListContinue2">
    <w:name w:val="List Continue 2"/>
    <w:basedOn w:val="Normal"/>
    <w:rsid w:val="009540A1"/>
    <w:pPr>
      <w:ind w:left="566"/>
    </w:pPr>
  </w:style>
  <w:style w:type="paragraph" w:styleId="ListContinue3">
    <w:name w:val="List Continue 3"/>
    <w:basedOn w:val="Normal"/>
    <w:rsid w:val="009540A1"/>
    <w:pPr>
      <w:ind w:left="849"/>
    </w:pPr>
  </w:style>
  <w:style w:type="paragraph" w:styleId="ListContinue4">
    <w:name w:val="List Continue 4"/>
    <w:basedOn w:val="Normal"/>
    <w:rsid w:val="009540A1"/>
    <w:pPr>
      <w:ind w:left="1132"/>
    </w:pPr>
  </w:style>
  <w:style w:type="paragraph" w:styleId="ListContinue5">
    <w:name w:val="List Continue 5"/>
    <w:basedOn w:val="Normal"/>
    <w:rsid w:val="009540A1"/>
    <w:pPr>
      <w:ind w:left="1415"/>
    </w:pPr>
  </w:style>
  <w:style w:type="paragraph" w:styleId="ListNumber">
    <w:name w:val="List Number"/>
    <w:basedOn w:val="Normal"/>
    <w:rsid w:val="009540A1"/>
    <w:pPr>
      <w:numPr>
        <w:numId w:val="7"/>
      </w:numPr>
    </w:pPr>
  </w:style>
  <w:style w:type="paragraph" w:styleId="ListNumber2">
    <w:name w:val="List Number 2"/>
    <w:basedOn w:val="Normal"/>
    <w:rsid w:val="009540A1"/>
    <w:pPr>
      <w:numPr>
        <w:numId w:val="8"/>
      </w:numPr>
    </w:pPr>
  </w:style>
  <w:style w:type="paragraph" w:styleId="ListNumber3">
    <w:name w:val="List Number 3"/>
    <w:basedOn w:val="Normal"/>
    <w:rsid w:val="009540A1"/>
    <w:pPr>
      <w:numPr>
        <w:numId w:val="9"/>
      </w:numPr>
    </w:pPr>
  </w:style>
  <w:style w:type="paragraph" w:styleId="ListNumber4">
    <w:name w:val="List Number 4"/>
    <w:basedOn w:val="Normal"/>
    <w:rsid w:val="009540A1"/>
    <w:pPr>
      <w:numPr>
        <w:numId w:val="10"/>
      </w:numPr>
    </w:pPr>
  </w:style>
  <w:style w:type="paragraph" w:styleId="ListNumber5">
    <w:name w:val="List Number 5"/>
    <w:basedOn w:val="Normal"/>
    <w:rsid w:val="009540A1"/>
    <w:pPr>
      <w:numPr>
        <w:numId w:val="11"/>
      </w:numPr>
    </w:pPr>
  </w:style>
  <w:style w:type="paragraph" w:styleId="MacroText">
    <w:name w:val="macro"/>
    <w:semiHidden/>
    <w:rsid w:val="009540A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paragraph" w:styleId="MessageHeader">
    <w:name w:val="Message Header"/>
    <w:basedOn w:val="Normal"/>
    <w:rsid w:val="009540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540A1"/>
    <w:rPr>
      <w:sz w:val="24"/>
      <w:szCs w:val="24"/>
    </w:rPr>
  </w:style>
  <w:style w:type="paragraph" w:styleId="NormalIndent">
    <w:name w:val="Normal Indent"/>
    <w:basedOn w:val="Normal"/>
    <w:rsid w:val="009540A1"/>
    <w:pPr>
      <w:ind w:left="567"/>
    </w:pPr>
  </w:style>
  <w:style w:type="paragraph" w:styleId="NoteHeading">
    <w:name w:val="Note Heading"/>
    <w:basedOn w:val="Normal"/>
    <w:next w:val="Normal"/>
    <w:rsid w:val="009540A1"/>
  </w:style>
  <w:style w:type="paragraph" w:styleId="PlainText">
    <w:name w:val="Plain Text"/>
    <w:basedOn w:val="Normal"/>
    <w:rsid w:val="009540A1"/>
    <w:rPr>
      <w:rFonts w:ascii="Courier New" w:hAnsi="Courier New" w:cs="Courier New"/>
      <w:sz w:val="20"/>
    </w:rPr>
  </w:style>
  <w:style w:type="paragraph" w:styleId="Salutation">
    <w:name w:val="Salutation"/>
    <w:basedOn w:val="Normal"/>
    <w:next w:val="Normal"/>
    <w:rsid w:val="009540A1"/>
  </w:style>
  <w:style w:type="paragraph" w:styleId="Signature">
    <w:name w:val="Signature"/>
    <w:basedOn w:val="Normal"/>
    <w:rsid w:val="009540A1"/>
    <w:pPr>
      <w:ind w:left="4252"/>
    </w:pPr>
  </w:style>
  <w:style w:type="paragraph" w:styleId="Subtitle">
    <w:name w:val="Subtitle"/>
    <w:basedOn w:val="Normal"/>
    <w:qFormat/>
    <w:rsid w:val="009540A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540A1"/>
    <w:pPr>
      <w:ind w:left="220" w:hanging="220"/>
    </w:pPr>
  </w:style>
  <w:style w:type="paragraph" w:styleId="TableofFigures">
    <w:name w:val="table of figures"/>
    <w:basedOn w:val="Normal"/>
    <w:next w:val="Normal"/>
    <w:semiHidden/>
    <w:rsid w:val="009540A1"/>
    <w:pPr>
      <w:ind w:left="440" w:hanging="440"/>
    </w:pPr>
  </w:style>
  <w:style w:type="paragraph" w:styleId="TOAHeading">
    <w:name w:val="toa heading"/>
    <w:basedOn w:val="Normal"/>
    <w:next w:val="Normal"/>
    <w:semiHidden/>
    <w:rsid w:val="009540A1"/>
    <w:pPr>
      <w:spacing w:before="120"/>
    </w:pPr>
    <w:rPr>
      <w:rFonts w:ascii="Arial" w:hAnsi="Arial" w:cs="Arial"/>
      <w:b/>
      <w:bCs/>
      <w:sz w:val="24"/>
      <w:szCs w:val="24"/>
    </w:rPr>
  </w:style>
  <w:style w:type="paragraph" w:styleId="TOC1">
    <w:name w:val="toc 1"/>
    <w:basedOn w:val="Normal"/>
    <w:next w:val="Normal"/>
    <w:autoRedefine/>
    <w:semiHidden/>
    <w:rsid w:val="009540A1"/>
  </w:style>
  <w:style w:type="paragraph" w:styleId="TOC2">
    <w:name w:val="toc 2"/>
    <w:basedOn w:val="Normal"/>
    <w:next w:val="Normal"/>
    <w:autoRedefine/>
    <w:semiHidden/>
    <w:rsid w:val="009540A1"/>
    <w:pPr>
      <w:ind w:left="220"/>
    </w:pPr>
  </w:style>
  <w:style w:type="paragraph" w:styleId="TOC3">
    <w:name w:val="toc 3"/>
    <w:basedOn w:val="Normal"/>
    <w:next w:val="Normal"/>
    <w:autoRedefine/>
    <w:semiHidden/>
    <w:rsid w:val="009540A1"/>
    <w:pPr>
      <w:ind w:left="440"/>
    </w:pPr>
  </w:style>
  <w:style w:type="paragraph" w:styleId="TOC4">
    <w:name w:val="toc 4"/>
    <w:basedOn w:val="Normal"/>
    <w:next w:val="Normal"/>
    <w:autoRedefine/>
    <w:semiHidden/>
    <w:rsid w:val="009540A1"/>
    <w:pPr>
      <w:ind w:left="660"/>
    </w:pPr>
  </w:style>
  <w:style w:type="paragraph" w:styleId="TOC5">
    <w:name w:val="toc 5"/>
    <w:basedOn w:val="Normal"/>
    <w:next w:val="Normal"/>
    <w:autoRedefine/>
    <w:semiHidden/>
    <w:rsid w:val="009540A1"/>
    <w:pPr>
      <w:ind w:left="880"/>
    </w:pPr>
  </w:style>
  <w:style w:type="paragraph" w:styleId="TOC6">
    <w:name w:val="toc 6"/>
    <w:basedOn w:val="Normal"/>
    <w:next w:val="Normal"/>
    <w:autoRedefine/>
    <w:semiHidden/>
    <w:rsid w:val="009540A1"/>
    <w:pPr>
      <w:ind w:left="1100"/>
    </w:pPr>
  </w:style>
  <w:style w:type="paragraph" w:styleId="TOC7">
    <w:name w:val="toc 7"/>
    <w:basedOn w:val="Normal"/>
    <w:next w:val="Normal"/>
    <w:autoRedefine/>
    <w:semiHidden/>
    <w:rsid w:val="009540A1"/>
    <w:pPr>
      <w:ind w:left="1320"/>
    </w:pPr>
  </w:style>
  <w:style w:type="paragraph" w:styleId="TOC8">
    <w:name w:val="toc 8"/>
    <w:basedOn w:val="Normal"/>
    <w:next w:val="Normal"/>
    <w:autoRedefine/>
    <w:semiHidden/>
    <w:rsid w:val="009540A1"/>
    <w:pPr>
      <w:ind w:left="1540"/>
    </w:pPr>
  </w:style>
  <w:style w:type="paragraph" w:styleId="TOC9">
    <w:name w:val="toc 9"/>
    <w:basedOn w:val="Normal"/>
    <w:next w:val="Normal"/>
    <w:autoRedefine/>
    <w:semiHidden/>
    <w:rsid w:val="009540A1"/>
    <w:pPr>
      <w:ind w:left="1760"/>
    </w:pPr>
  </w:style>
  <w:style w:type="character" w:styleId="Hyperlink">
    <w:name w:val="Hyperlink"/>
    <w:basedOn w:val="DefaultParagraphFont"/>
    <w:rsid w:val="00492992"/>
    <w:rPr>
      <w:color w:val="0000FF"/>
      <w:u w:val="single"/>
    </w:rPr>
  </w:style>
  <w:style w:type="character" w:styleId="FollowedHyperlink">
    <w:name w:val="FollowedHyperlink"/>
    <w:basedOn w:val="DefaultParagraphFont"/>
    <w:rsid w:val="00E313B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685">
      <w:bodyDiv w:val="1"/>
      <w:marLeft w:val="0"/>
      <w:marRight w:val="0"/>
      <w:marTop w:val="0"/>
      <w:marBottom w:val="0"/>
      <w:divBdr>
        <w:top w:val="none" w:sz="0" w:space="0" w:color="auto"/>
        <w:left w:val="none" w:sz="0" w:space="0" w:color="auto"/>
        <w:bottom w:val="none" w:sz="0" w:space="0" w:color="auto"/>
        <w:right w:val="none" w:sz="0" w:space="0" w:color="auto"/>
      </w:divBdr>
      <w:divsChild>
        <w:div w:id="116799426">
          <w:marLeft w:val="0"/>
          <w:marRight w:val="0"/>
          <w:marTop w:val="0"/>
          <w:marBottom w:val="600"/>
          <w:divBdr>
            <w:top w:val="none" w:sz="0" w:space="0" w:color="auto"/>
            <w:left w:val="none" w:sz="0" w:space="0" w:color="auto"/>
            <w:bottom w:val="none" w:sz="0" w:space="0" w:color="auto"/>
            <w:right w:val="none" w:sz="0" w:space="0" w:color="auto"/>
          </w:divBdr>
          <w:divsChild>
            <w:div w:id="800341016">
              <w:marLeft w:val="0"/>
              <w:marRight w:val="0"/>
              <w:marTop w:val="0"/>
              <w:marBottom w:val="0"/>
              <w:divBdr>
                <w:top w:val="none" w:sz="0" w:space="0" w:color="auto"/>
                <w:left w:val="none" w:sz="0" w:space="0" w:color="auto"/>
                <w:bottom w:val="none" w:sz="0" w:space="0" w:color="auto"/>
                <w:right w:val="none" w:sz="0" w:space="0" w:color="auto"/>
              </w:divBdr>
              <w:divsChild>
                <w:div w:id="738404162">
                  <w:marLeft w:val="0"/>
                  <w:marRight w:val="0"/>
                  <w:marTop w:val="0"/>
                  <w:marBottom w:val="0"/>
                  <w:divBdr>
                    <w:top w:val="none" w:sz="0" w:space="0" w:color="auto"/>
                    <w:left w:val="none" w:sz="0" w:space="0" w:color="auto"/>
                    <w:bottom w:val="single" w:sz="36" w:space="11" w:color="522A84"/>
                    <w:right w:val="none" w:sz="0" w:space="0" w:color="auto"/>
                  </w:divBdr>
                  <w:divsChild>
                    <w:div w:id="1409421608">
                      <w:marLeft w:val="0"/>
                      <w:marRight w:val="0"/>
                      <w:marTop w:val="0"/>
                      <w:marBottom w:val="0"/>
                      <w:divBdr>
                        <w:top w:val="none" w:sz="0" w:space="0" w:color="auto"/>
                        <w:left w:val="none" w:sz="0" w:space="0" w:color="auto"/>
                        <w:bottom w:val="none" w:sz="0" w:space="0" w:color="auto"/>
                        <w:right w:val="none" w:sz="0" w:space="0" w:color="auto"/>
                      </w:divBdr>
                      <w:divsChild>
                        <w:div w:id="670331073">
                          <w:marLeft w:val="0"/>
                          <w:marRight w:val="0"/>
                          <w:marTop w:val="0"/>
                          <w:marBottom w:val="0"/>
                          <w:divBdr>
                            <w:top w:val="none" w:sz="0" w:space="0" w:color="auto"/>
                            <w:left w:val="none" w:sz="0" w:space="0" w:color="auto"/>
                            <w:bottom w:val="none" w:sz="0" w:space="0" w:color="auto"/>
                            <w:right w:val="none" w:sz="0" w:space="0" w:color="auto"/>
                          </w:divBdr>
                          <w:divsChild>
                            <w:div w:id="339357427">
                              <w:marLeft w:val="0"/>
                              <w:marRight w:val="0"/>
                              <w:marTop w:val="0"/>
                              <w:marBottom w:val="0"/>
                              <w:divBdr>
                                <w:top w:val="none" w:sz="0" w:space="0" w:color="auto"/>
                                <w:left w:val="none" w:sz="0" w:space="0" w:color="auto"/>
                                <w:bottom w:val="none" w:sz="0" w:space="0" w:color="auto"/>
                                <w:right w:val="none" w:sz="0" w:space="0" w:color="auto"/>
                              </w:divBdr>
                              <w:divsChild>
                                <w:div w:id="503328261">
                                  <w:marLeft w:val="0"/>
                                  <w:marRight w:val="0"/>
                                  <w:marTop w:val="0"/>
                                  <w:marBottom w:val="0"/>
                                  <w:divBdr>
                                    <w:top w:val="none" w:sz="0" w:space="0" w:color="auto"/>
                                    <w:left w:val="none" w:sz="0" w:space="0" w:color="auto"/>
                                    <w:bottom w:val="none" w:sz="0" w:space="0" w:color="auto"/>
                                    <w:right w:val="none" w:sz="0" w:space="0" w:color="auto"/>
                                  </w:divBdr>
                                  <w:divsChild>
                                    <w:div w:id="780340519">
                                      <w:marLeft w:val="0"/>
                                      <w:marRight w:val="0"/>
                                      <w:marTop w:val="0"/>
                                      <w:marBottom w:val="0"/>
                                      <w:divBdr>
                                        <w:top w:val="none" w:sz="0" w:space="0" w:color="auto"/>
                                        <w:left w:val="none" w:sz="0" w:space="0" w:color="auto"/>
                                        <w:bottom w:val="none" w:sz="0" w:space="0" w:color="auto"/>
                                        <w:right w:val="none" w:sz="0" w:space="0" w:color="auto"/>
                                      </w:divBdr>
                                      <w:divsChild>
                                        <w:div w:id="2085452453">
                                          <w:marLeft w:val="0"/>
                                          <w:marRight w:val="0"/>
                                          <w:marTop w:val="0"/>
                                          <w:marBottom w:val="0"/>
                                          <w:divBdr>
                                            <w:top w:val="none" w:sz="0" w:space="0" w:color="auto"/>
                                            <w:left w:val="none" w:sz="0" w:space="0" w:color="auto"/>
                                            <w:bottom w:val="none" w:sz="0" w:space="0" w:color="auto"/>
                                            <w:right w:val="none" w:sz="0" w:space="0" w:color="auto"/>
                                          </w:divBdr>
                                          <w:divsChild>
                                            <w:div w:id="917640877">
                                              <w:marLeft w:val="150"/>
                                              <w:marRight w:val="225"/>
                                              <w:marTop w:val="225"/>
                                              <w:marBottom w:val="0"/>
                                              <w:divBdr>
                                                <w:top w:val="none" w:sz="0" w:space="0" w:color="auto"/>
                                                <w:left w:val="none" w:sz="0" w:space="0" w:color="auto"/>
                                                <w:bottom w:val="none" w:sz="0" w:space="0" w:color="auto"/>
                                                <w:right w:val="none" w:sz="0" w:space="0" w:color="auto"/>
                                              </w:divBdr>
                                              <w:divsChild>
                                                <w:div w:id="1046370702">
                                                  <w:marLeft w:val="0"/>
                                                  <w:marRight w:val="0"/>
                                                  <w:marTop w:val="0"/>
                                                  <w:marBottom w:val="0"/>
                                                  <w:divBdr>
                                                    <w:top w:val="none" w:sz="0" w:space="0" w:color="auto"/>
                                                    <w:left w:val="none" w:sz="0" w:space="0" w:color="auto"/>
                                                    <w:bottom w:val="none" w:sz="0" w:space="0" w:color="auto"/>
                                                    <w:right w:val="none" w:sz="0" w:space="0" w:color="auto"/>
                                                  </w:divBdr>
                                                  <w:divsChild>
                                                    <w:div w:id="1205756466">
                                                      <w:marLeft w:val="0"/>
                                                      <w:marRight w:val="0"/>
                                                      <w:marTop w:val="75"/>
                                                      <w:marBottom w:val="0"/>
                                                      <w:divBdr>
                                                        <w:top w:val="none" w:sz="0" w:space="0" w:color="auto"/>
                                                        <w:left w:val="none" w:sz="0" w:space="0" w:color="auto"/>
                                                        <w:bottom w:val="none" w:sz="0" w:space="0" w:color="auto"/>
                                                        <w:right w:val="none" w:sz="0" w:space="0" w:color="auto"/>
                                                      </w:divBdr>
                                                      <w:divsChild>
                                                        <w:div w:id="914241024">
                                                          <w:marLeft w:val="0"/>
                                                          <w:marRight w:val="0"/>
                                                          <w:marTop w:val="120"/>
                                                          <w:marBottom w:val="0"/>
                                                          <w:divBdr>
                                                            <w:top w:val="none" w:sz="0" w:space="0" w:color="auto"/>
                                                            <w:left w:val="none" w:sz="0" w:space="0" w:color="auto"/>
                                                            <w:bottom w:val="none" w:sz="0" w:space="0" w:color="auto"/>
                                                            <w:right w:val="none" w:sz="0" w:space="0" w:color="auto"/>
                                                          </w:divBdr>
                                                          <w:divsChild>
                                                            <w:div w:id="4632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icagofed.org/../publications/fedletter/cflmarch2005_212.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s.org/publ/bispap01a.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4FC21-F358-47ED-86CA-03D66001824F}"/>
</file>

<file path=customXml/itemProps2.xml><?xml version="1.0" encoding="utf-8"?>
<ds:datastoreItem xmlns:ds="http://schemas.openxmlformats.org/officeDocument/2006/customXml" ds:itemID="{8F9654BC-CDFB-4CE0-9F26-68E6ED1A31B9}"/>
</file>

<file path=customXml/itemProps3.xml><?xml version="1.0" encoding="utf-8"?>
<ds:datastoreItem xmlns:ds="http://schemas.openxmlformats.org/officeDocument/2006/customXml" ds:itemID="{2FD15DED-AE34-4A1E-92D2-DFBE698042CC}"/>
</file>

<file path=docProps/app.xml><?xml version="1.0" encoding="utf-8"?>
<Properties xmlns="http://schemas.openxmlformats.org/officeDocument/2006/extended-properties" xmlns:vt="http://schemas.openxmlformats.org/officeDocument/2006/docPropsVTypes">
  <Template>Normal.dotm</Template>
  <TotalTime>39</TotalTime>
  <Pages>3</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Craig H</vt:lpstr>
    </vt:vector>
  </TitlesOfParts>
  <Company>BIS-BRI-BIZ</Company>
  <LinksUpToDate>false</LinksUpToDate>
  <CharactersWithSpaces>5135</CharactersWithSpaces>
  <SharedDoc>false</SharedDoc>
  <HLinks>
    <vt:vector size="18" baseType="variant">
      <vt:variant>
        <vt:i4>1900546</vt:i4>
      </vt:variant>
      <vt:variant>
        <vt:i4>6</vt:i4>
      </vt:variant>
      <vt:variant>
        <vt:i4>0</vt:i4>
      </vt:variant>
      <vt:variant>
        <vt:i4>5</vt:i4>
      </vt:variant>
      <vt:variant>
        <vt:lpwstr>http://www.bis.org/publ/bispap01a.pdf</vt:lpwstr>
      </vt:variant>
      <vt:variant>
        <vt:lpwstr/>
      </vt:variant>
      <vt:variant>
        <vt:i4>6357079</vt:i4>
      </vt:variant>
      <vt:variant>
        <vt:i4>3</vt:i4>
      </vt:variant>
      <vt:variant>
        <vt:i4>0</vt:i4>
      </vt:variant>
      <vt:variant>
        <vt:i4>5</vt:i4>
      </vt:variant>
      <vt:variant>
        <vt:lpwstr>http://www.chicagofed.org/publications/fedletter/cflmarch2005_212.pdf</vt:lpwstr>
      </vt:variant>
      <vt:variant>
        <vt:lpwstr/>
      </vt:variant>
      <vt:variant>
        <vt:i4>1638442</vt:i4>
      </vt:variant>
      <vt:variant>
        <vt:i4>0</vt:i4>
      </vt:variant>
      <vt:variant>
        <vt:i4>0</vt:i4>
      </vt:variant>
      <vt:variant>
        <vt:i4>5</vt:i4>
      </vt:variant>
      <vt:variant>
        <vt:lpwstr>mailto:craig.furfine@chi.frb.org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H</dc:title>
  <dc:creator>Craig Furfine</dc:creator>
  <cp:lastModifiedBy>Craig Furfine</cp:lastModifiedBy>
  <cp:revision>18</cp:revision>
  <cp:lastPrinted>2009-03-16T15:45:00Z</cp:lastPrinted>
  <dcterms:created xsi:type="dcterms:W3CDTF">2009-03-16T15:43:00Z</dcterms:created>
  <dcterms:modified xsi:type="dcterms:W3CDTF">2012-11-13T16:01:00Z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